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2FDD" w14:textId="610625C0" w:rsidR="00AA31A6" w:rsidRDefault="00AA31A6" w:rsidP="00AA31A6">
      <w:pPr>
        <w:pStyle w:val="Heading5"/>
        <w:jc w:val="right"/>
      </w:pPr>
      <w:r w:rsidRPr="00871939">
        <w:t>PAID TIME OFF POLICY (PTO)</w:t>
      </w:r>
    </w:p>
    <w:p w14:paraId="323208BA" w14:textId="545521FF" w:rsidR="00AA31A6" w:rsidRDefault="00AA31A6" w:rsidP="00AA31A6"/>
    <w:p w14:paraId="5568AC7F" w14:textId="77777777" w:rsidR="00AA31A6" w:rsidRPr="00AA31A6" w:rsidRDefault="00AA31A6" w:rsidP="00AA31A6">
      <w:pPr>
        <w:rPr>
          <w:rFonts w:ascii="Arial" w:hAnsi="Arial" w:cs="Arial"/>
          <w:snapToGrid w:val="0"/>
        </w:rPr>
      </w:pPr>
      <w:r w:rsidRPr="00AA31A6">
        <w:rPr>
          <w:rFonts w:ascii="Arial" w:hAnsi="Arial" w:cs="Arial"/>
          <w:snapToGrid w:val="0"/>
        </w:rPr>
        <w:t xml:space="preserve">xxx provides paid time off (PTO) for all regular full-time and part-time employees to allow for vacations, personal appointments, or illnesses. It includes what other companies may call vacation time, personal time, or sick time. It provides flexibility to use time off to meet personal needs while recognizing the individual’s responsibility to manage paid time off.  </w:t>
      </w:r>
    </w:p>
    <w:p w14:paraId="5D8E5803" w14:textId="77777777" w:rsidR="00AA31A6" w:rsidRPr="004F497D" w:rsidRDefault="00AA31A6" w:rsidP="00AA31A6">
      <w:pPr>
        <w:rPr>
          <w:rFonts w:ascii="Verdana" w:hAnsi="Verdana" w:cs="Arial"/>
          <w:sz w:val="32"/>
          <w:szCs w:val="32"/>
        </w:rPr>
      </w:pPr>
      <w:r w:rsidRPr="004F497D">
        <w:rPr>
          <w:rFonts w:ascii="Verdana" w:hAnsi="Verdana" w:cs="Arial"/>
          <w:sz w:val="32"/>
          <w:szCs w:val="32"/>
        </w:rPr>
        <w:t>Guidelines</w:t>
      </w:r>
    </w:p>
    <w:p w14:paraId="20C8196E" w14:textId="77777777" w:rsidR="00AA31A6" w:rsidRPr="004F497D" w:rsidRDefault="00AA31A6" w:rsidP="00AA31A6">
      <w:pPr>
        <w:pStyle w:val="ListParagraph"/>
        <w:widowControl w:val="0"/>
        <w:numPr>
          <w:ilvl w:val="0"/>
          <w:numId w:val="1"/>
        </w:numPr>
        <w:spacing w:after="0" w:line="240" w:lineRule="auto"/>
        <w:rPr>
          <w:rFonts w:ascii="Arial" w:hAnsi="Arial" w:cs="Arial"/>
          <w:snapToGrid w:val="0"/>
        </w:rPr>
      </w:pPr>
      <w:r w:rsidRPr="004F497D">
        <w:rPr>
          <w:rFonts w:ascii="Arial" w:hAnsi="Arial" w:cs="Arial"/>
          <w:snapToGrid w:val="0"/>
        </w:rPr>
        <w:t>Accrual Rate:</w:t>
      </w:r>
    </w:p>
    <w:p w14:paraId="6B6A0A04" w14:textId="62D82885" w:rsidR="00AA31A6" w:rsidRPr="00AA31A6" w:rsidRDefault="00AA31A6" w:rsidP="00AA31A6">
      <w:pPr>
        <w:pStyle w:val="ListParagraph"/>
        <w:widowControl w:val="0"/>
        <w:rPr>
          <w:rFonts w:ascii="Arial" w:hAnsi="Arial" w:cs="Arial"/>
          <w:snapToGrid w:val="0"/>
        </w:rPr>
      </w:pPr>
      <w:r w:rsidRPr="004F497D">
        <w:rPr>
          <w:rFonts w:ascii="Arial" w:hAnsi="Arial" w:cs="Arial"/>
          <w:snapToGrid w:val="0"/>
        </w:rPr>
        <w:t xml:space="preserve">The accrual rate for full-time is as follows: </w:t>
      </w:r>
    </w:p>
    <w:tbl>
      <w:tblPr>
        <w:tblW w:w="7025" w:type="dxa"/>
        <w:tblInd w:w="710" w:type="dxa"/>
        <w:tblLook w:val="04A0" w:firstRow="1" w:lastRow="0" w:firstColumn="1" w:lastColumn="0" w:noHBand="0" w:noVBand="1"/>
      </w:tblPr>
      <w:tblGrid>
        <w:gridCol w:w="1460"/>
        <w:gridCol w:w="2415"/>
        <w:gridCol w:w="3150"/>
      </w:tblGrid>
      <w:tr w:rsidR="00AA31A6" w:rsidRPr="004F497D" w14:paraId="7DE842FD" w14:textId="77777777" w:rsidTr="00767D39">
        <w:trPr>
          <w:trHeight w:val="701"/>
        </w:trPr>
        <w:tc>
          <w:tcPr>
            <w:tcW w:w="14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E0F3416" w14:textId="77777777" w:rsidR="00AA31A6" w:rsidRPr="004F497D" w:rsidRDefault="00AA31A6" w:rsidP="0093254D">
            <w:pPr>
              <w:ind w:left="360"/>
              <w:rPr>
                <w:rFonts w:cs="Arial"/>
                <w:b/>
                <w:bCs/>
              </w:rPr>
            </w:pPr>
            <w:r w:rsidRPr="004F497D">
              <w:rPr>
                <w:rFonts w:cs="Arial"/>
                <w:b/>
                <w:bCs/>
              </w:rPr>
              <w:t>Years of Service</w:t>
            </w:r>
          </w:p>
        </w:tc>
        <w:tc>
          <w:tcPr>
            <w:tcW w:w="2415" w:type="dxa"/>
            <w:tcBorders>
              <w:top w:val="single" w:sz="4" w:space="0" w:color="auto"/>
              <w:left w:val="nil"/>
              <w:bottom w:val="single" w:sz="4" w:space="0" w:color="auto"/>
              <w:right w:val="single" w:sz="4" w:space="0" w:color="auto"/>
            </w:tcBorders>
            <w:shd w:val="clear" w:color="auto" w:fill="D9D9D9"/>
            <w:vAlign w:val="bottom"/>
            <w:hideMark/>
          </w:tcPr>
          <w:p w14:paraId="084E1AEB" w14:textId="77777777" w:rsidR="00AA31A6" w:rsidRPr="004F497D" w:rsidRDefault="00AA31A6" w:rsidP="0093254D">
            <w:pPr>
              <w:ind w:left="360"/>
              <w:rPr>
                <w:rFonts w:cs="Arial"/>
                <w:b/>
                <w:bCs/>
              </w:rPr>
            </w:pPr>
            <w:r w:rsidRPr="004F497D">
              <w:rPr>
                <w:rFonts w:cs="Arial"/>
                <w:b/>
                <w:bCs/>
              </w:rPr>
              <w:t xml:space="preserve">PTO Hours Accrued per </w:t>
            </w:r>
            <w:proofErr w:type="gramStart"/>
            <w:r w:rsidRPr="004F497D">
              <w:rPr>
                <w:rFonts w:cs="Arial"/>
                <w:b/>
                <w:bCs/>
              </w:rPr>
              <w:t>pay  Period</w:t>
            </w:r>
            <w:proofErr w:type="gramEnd"/>
          </w:p>
          <w:p w14:paraId="376B6491" w14:textId="77777777" w:rsidR="00AA31A6" w:rsidRPr="004F497D" w:rsidRDefault="00AA31A6" w:rsidP="0093254D">
            <w:pPr>
              <w:ind w:left="360"/>
              <w:rPr>
                <w:rFonts w:cs="Arial"/>
                <w:b/>
                <w:bCs/>
              </w:rPr>
            </w:pPr>
            <w:r w:rsidRPr="004F497D">
              <w:rPr>
                <w:rFonts w:cs="Arial"/>
                <w:b/>
                <w:bCs/>
              </w:rPr>
              <w:t>(</w:t>
            </w:r>
            <w:proofErr w:type="gramStart"/>
            <w:r w:rsidRPr="004F497D">
              <w:rPr>
                <w:rFonts w:cs="Arial"/>
                <w:b/>
                <w:bCs/>
              </w:rPr>
              <w:t>based</w:t>
            </w:r>
            <w:proofErr w:type="gramEnd"/>
            <w:r w:rsidRPr="004F497D">
              <w:rPr>
                <w:rFonts w:cs="Arial"/>
                <w:b/>
                <w:bCs/>
              </w:rPr>
              <w:t xml:space="preserve"> on 40-hour work week)</w:t>
            </w:r>
          </w:p>
        </w:tc>
        <w:tc>
          <w:tcPr>
            <w:tcW w:w="3150" w:type="dxa"/>
            <w:tcBorders>
              <w:top w:val="single" w:sz="4" w:space="0" w:color="auto"/>
              <w:left w:val="nil"/>
              <w:bottom w:val="single" w:sz="4" w:space="0" w:color="auto"/>
              <w:right w:val="single" w:sz="4" w:space="0" w:color="auto"/>
            </w:tcBorders>
            <w:shd w:val="clear" w:color="auto" w:fill="D9D9D9"/>
            <w:vAlign w:val="bottom"/>
            <w:hideMark/>
          </w:tcPr>
          <w:p w14:paraId="2DFDD52F" w14:textId="77777777" w:rsidR="00AA31A6" w:rsidRPr="004F497D" w:rsidRDefault="00AA31A6" w:rsidP="0093254D">
            <w:pPr>
              <w:ind w:left="360"/>
              <w:rPr>
                <w:rFonts w:cs="Arial"/>
                <w:b/>
                <w:bCs/>
              </w:rPr>
            </w:pPr>
            <w:r w:rsidRPr="004F497D">
              <w:rPr>
                <w:rFonts w:cs="Arial"/>
                <w:b/>
                <w:bCs/>
              </w:rPr>
              <w:t xml:space="preserve">PTO Hours Per Year            </w:t>
            </w:r>
            <w:proofErr w:type="gramStart"/>
            <w:r w:rsidRPr="004F497D">
              <w:rPr>
                <w:rFonts w:cs="Arial"/>
                <w:b/>
                <w:bCs/>
              </w:rPr>
              <w:t xml:space="preserve">   (</w:t>
            </w:r>
            <w:proofErr w:type="gramEnd"/>
            <w:r w:rsidRPr="004F497D">
              <w:rPr>
                <w:rFonts w:cs="Arial"/>
                <w:b/>
                <w:bCs/>
              </w:rPr>
              <w:t xml:space="preserve">PTO </w:t>
            </w:r>
            <w:proofErr w:type="spellStart"/>
            <w:r w:rsidRPr="004F497D">
              <w:rPr>
                <w:rFonts w:cs="Arial"/>
                <w:b/>
                <w:bCs/>
              </w:rPr>
              <w:t>hrs</w:t>
            </w:r>
            <w:proofErr w:type="spellEnd"/>
            <w:r w:rsidRPr="004F497D">
              <w:rPr>
                <w:rFonts w:cs="Arial"/>
                <w:b/>
                <w:bCs/>
              </w:rPr>
              <w:t xml:space="preserve"> Accrued PP x 26)</w:t>
            </w:r>
          </w:p>
        </w:tc>
      </w:tr>
      <w:tr w:rsidR="00AA31A6" w:rsidRPr="004F497D" w14:paraId="6D1C233C" w14:textId="77777777" w:rsidTr="00767D39">
        <w:trPr>
          <w:trHeight w:val="275"/>
        </w:trPr>
        <w:tc>
          <w:tcPr>
            <w:tcW w:w="1460" w:type="dxa"/>
            <w:tcBorders>
              <w:top w:val="single" w:sz="4" w:space="0" w:color="auto"/>
              <w:left w:val="single" w:sz="4" w:space="0" w:color="auto"/>
              <w:bottom w:val="single" w:sz="4" w:space="0" w:color="auto"/>
              <w:right w:val="single" w:sz="4" w:space="0" w:color="auto"/>
            </w:tcBorders>
            <w:noWrap/>
            <w:vAlign w:val="center"/>
            <w:hideMark/>
          </w:tcPr>
          <w:p w14:paraId="525ED8B9" w14:textId="77777777" w:rsidR="00AA31A6" w:rsidRPr="004F497D" w:rsidRDefault="00AA31A6" w:rsidP="0093254D">
            <w:pPr>
              <w:ind w:left="360"/>
              <w:jc w:val="center"/>
              <w:rPr>
                <w:rFonts w:cs="Arial"/>
              </w:rPr>
            </w:pPr>
            <w:r w:rsidRPr="004F497D">
              <w:rPr>
                <w:rFonts w:cs="Arial"/>
              </w:rPr>
              <w:t>0-5</w:t>
            </w:r>
          </w:p>
        </w:tc>
        <w:tc>
          <w:tcPr>
            <w:tcW w:w="2415" w:type="dxa"/>
            <w:tcBorders>
              <w:top w:val="nil"/>
              <w:left w:val="nil"/>
              <w:bottom w:val="single" w:sz="4" w:space="0" w:color="auto"/>
              <w:right w:val="single" w:sz="4" w:space="0" w:color="auto"/>
            </w:tcBorders>
            <w:noWrap/>
            <w:vAlign w:val="center"/>
            <w:hideMark/>
          </w:tcPr>
          <w:p w14:paraId="1BAD11F1" w14:textId="77777777" w:rsidR="00AA31A6" w:rsidRPr="004F497D" w:rsidRDefault="00AA31A6" w:rsidP="0093254D">
            <w:pPr>
              <w:ind w:left="360"/>
              <w:jc w:val="center"/>
              <w:rPr>
                <w:rFonts w:cs="Arial"/>
              </w:rPr>
            </w:pPr>
            <w:r w:rsidRPr="004F497D">
              <w:rPr>
                <w:rFonts w:cs="Arial"/>
              </w:rPr>
              <w:t>4.77</w:t>
            </w:r>
          </w:p>
        </w:tc>
        <w:tc>
          <w:tcPr>
            <w:tcW w:w="3150" w:type="dxa"/>
            <w:tcBorders>
              <w:top w:val="nil"/>
              <w:left w:val="nil"/>
              <w:bottom w:val="single" w:sz="4" w:space="0" w:color="auto"/>
              <w:right w:val="single" w:sz="4" w:space="0" w:color="auto"/>
            </w:tcBorders>
            <w:noWrap/>
            <w:vAlign w:val="center"/>
            <w:hideMark/>
          </w:tcPr>
          <w:p w14:paraId="59961122" w14:textId="77777777" w:rsidR="00AA31A6" w:rsidRPr="004F497D" w:rsidRDefault="00AA31A6" w:rsidP="0093254D">
            <w:pPr>
              <w:ind w:left="360"/>
              <w:jc w:val="center"/>
              <w:rPr>
                <w:rFonts w:cs="Arial"/>
              </w:rPr>
            </w:pPr>
            <w:r w:rsidRPr="004F497D">
              <w:rPr>
                <w:rFonts w:cs="Arial"/>
              </w:rPr>
              <w:t>124.02</w:t>
            </w:r>
          </w:p>
        </w:tc>
      </w:tr>
      <w:tr w:rsidR="00AA31A6" w:rsidRPr="004F497D" w14:paraId="0166CA81" w14:textId="77777777" w:rsidTr="00767D39">
        <w:trPr>
          <w:trHeight w:val="275"/>
        </w:trPr>
        <w:tc>
          <w:tcPr>
            <w:tcW w:w="1460" w:type="dxa"/>
            <w:tcBorders>
              <w:top w:val="single" w:sz="4" w:space="0" w:color="auto"/>
              <w:left w:val="single" w:sz="4" w:space="0" w:color="auto"/>
              <w:bottom w:val="single" w:sz="4" w:space="0" w:color="auto"/>
              <w:right w:val="single" w:sz="4" w:space="0" w:color="auto"/>
            </w:tcBorders>
            <w:noWrap/>
            <w:vAlign w:val="center"/>
            <w:hideMark/>
          </w:tcPr>
          <w:p w14:paraId="6B80A57D" w14:textId="77777777" w:rsidR="00AA31A6" w:rsidRPr="004F497D" w:rsidRDefault="00AA31A6" w:rsidP="0093254D">
            <w:pPr>
              <w:ind w:left="360"/>
              <w:jc w:val="center"/>
              <w:rPr>
                <w:rFonts w:cs="Arial"/>
              </w:rPr>
            </w:pPr>
            <w:r w:rsidRPr="004F497D">
              <w:rPr>
                <w:rFonts w:cs="Arial"/>
              </w:rPr>
              <w:t>6-10</w:t>
            </w:r>
          </w:p>
        </w:tc>
        <w:tc>
          <w:tcPr>
            <w:tcW w:w="2415" w:type="dxa"/>
            <w:tcBorders>
              <w:top w:val="nil"/>
              <w:left w:val="nil"/>
              <w:bottom w:val="single" w:sz="4" w:space="0" w:color="auto"/>
              <w:right w:val="single" w:sz="4" w:space="0" w:color="auto"/>
            </w:tcBorders>
            <w:noWrap/>
            <w:vAlign w:val="center"/>
            <w:hideMark/>
          </w:tcPr>
          <w:p w14:paraId="41598D71" w14:textId="77777777" w:rsidR="00AA31A6" w:rsidRPr="004F497D" w:rsidRDefault="00AA31A6" w:rsidP="0093254D">
            <w:pPr>
              <w:ind w:left="360"/>
              <w:jc w:val="center"/>
              <w:rPr>
                <w:rFonts w:cs="Arial"/>
              </w:rPr>
            </w:pPr>
            <w:r w:rsidRPr="004F497D">
              <w:rPr>
                <w:rFonts w:cs="Arial"/>
              </w:rPr>
              <w:t>6.36</w:t>
            </w:r>
          </w:p>
        </w:tc>
        <w:tc>
          <w:tcPr>
            <w:tcW w:w="3150" w:type="dxa"/>
            <w:tcBorders>
              <w:top w:val="nil"/>
              <w:left w:val="nil"/>
              <w:bottom w:val="single" w:sz="4" w:space="0" w:color="auto"/>
              <w:right w:val="single" w:sz="4" w:space="0" w:color="auto"/>
            </w:tcBorders>
            <w:noWrap/>
            <w:vAlign w:val="center"/>
            <w:hideMark/>
          </w:tcPr>
          <w:p w14:paraId="23940A95" w14:textId="77777777" w:rsidR="00AA31A6" w:rsidRPr="004F497D" w:rsidRDefault="00AA31A6" w:rsidP="0093254D">
            <w:pPr>
              <w:ind w:left="360"/>
              <w:jc w:val="center"/>
              <w:rPr>
                <w:rFonts w:cs="Arial"/>
              </w:rPr>
            </w:pPr>
            <w:r w:rsidRPr="004F497D">
              <w:rPr>
                <w:rFonts w:cs="Arial"/>
              </w:rPr>
              <w:t>165.36</w:t>
            </w:r>
          </w:p>
        </w:tc>
      </w:tr>
      <w:tr w:rsidR="00AA31A6" w:rsidRPr="004F497D" w14:paraId="7BCB4271" w14:textId="77777777" w:rsidTr="00767D39">
        <w:trPr>
          <w:trHeight w:val="275"/>
        </w:trPr>
        <w:tc>
          <w:tcPr>
            <w:tcW w:w="1460" w:type="dxa"/>
            <w:tcBorders>
              <w:top w:val="single" w:sz="4" w:space="0" w:color="auto"/>
              <w:left w:val="single" w:sz="4" w:space="0" w:color="auto"/>
              <w:bottom w:val="single" w:sz="4" w:space="0" w:color="auto"/>
              <w:right w:val="single" w:sz="4" w:space="0" w:color="auto"/>
            </w:tcBorders>
            <w:noWrap/>
            <w:vAlign w:val="center"/>
            <w:hideMark/>
          </w:tcPr>
          <w:p w14:paraId="5F735834" w14:textId="77777777" w:rsidR="00AA31A6" w:rsidRPr="004F497D" w:rsidRDefault="00AA31A6" w:rsidP="0093254D">
            <w:pPr>
              <w:ind w:left="360"/>
              <w:jc w:val="center"/>
              <w:rPr>
                <w:rFonts w:cs="Arial"/>
              </w:rPr>
            </w:pPr>
            <w:r w:rsidRPr="004F497D">
              <w:rPr>
                <w:rFonts w:cs="Arial"/>
              </w:rPr>
              <w:t>11-15</w:t>
            </w:r>
          </w:p>
        </w:tc>
        <w:tc>
          <w:tcPr>
            <w:tcW w:w="2415" w:type="dxa"/>
            <w:tcBorders>
              <w:top w:val="nil"/>
              <w:left w:val="nil"/>
              <w:bottom w:val="single" w:sz="4" w:space="0" w:color="auto"/>
              <w:right w:val="single" w:sz="4" w:space="0" w:color="auto"/>
            </w:tcBorders>
            <w:noWrap/>
            <w:vAlign w:val="center"/>
            <w:hideMark/>
          </w:tcPr>
          <w:p w14:paraId="670BBC93" w14:textId="77777777" w:rsidR="00AA31A6" w:rsidRPr="004F497D" w:rsidRDefault="00AA31A6" w:rsidP="0093254D">
            <w:pPr>
              <w:ind w:left="360"/>
              <w:jc w:val="center"/>
              <w:rPr>
                <w:rFonts w:cs="Arial"/>
              </w:rPr>
            </w:pPr>
            <w:r w:rsidRPr="004F497D">
              <w:rPr>
                <w:rFonts w:cs="Arial"/>
              </w:rPr>
              <w:t>6.84</w:t>
            </w:r>
          </w:p>
        </w:tc>
        <w:tc>
          <w:tcPr>
            <w:tcW w:w="3150" w:type="dxa"/>
            <w:tcBorders>
              <w:top w:val="nil"/>
              <w:left w:val="nil"/>
              <w:bottom w:val="single" w:sz="4" w:space="0" w:color="auto"/>
              <w:right w:val="single" w:sz="4" w:space="0" w:color="auto"/>
            </w:tcBorders>
            <w:noWrap/>
            <w:vAlign w:val="center"/>
            <w:hideMark/>
          </w:tcPr>
          <w:p w14:paraId="484E381B" w14:textId="77777777" w:rsidR="00AA31A6" w:rsidRPr="004F497D" w:rsidRDefault="00AA31A6" w:rsidP="0093254D">
            <w:pPr>
              <w:ind w:left="360"/>
              <w:jc w:val="center"/>
              <w:rPr>
                <w:rFonts w:cs="Arial"/>
              </w:rPr>
            </w:pPr>
            <w:r w:rsidRPr="004F497D">
              <w:rPr>
                <w:rFonts w:cs="Arial"/>
              </w:rPr>
              <w:t>177.84</w:t>
            </w:r>
          </w:p>
        </w:tc>
      </w:tr>
      <w:tr w:rsidR="00AA31A6" w:rsidRPr="004F497D" w14:paraId="1392189F" w14:textId="77777777" w:rsidTr="00767D39">
        <w:trPr>
          <w:trHeight w:val="275"/>
        </w:trPr>
        <w:tc>
          <w:tcPr>
            <w:tcW w:w="1460" w:type="dxa"/>
            <w:tcBorders>
              <w:top w:val="single" w:sz="4" w:space="0" w:color="auto"/>
              <w:left w:val="single" w:sz="4" w:space="0" w:color="auto"/>
              <w:bottom w:val="single" w:sz="4" w:space="0" w:color="auto"/>
              <w:right w:val="single" w:sz="4" w:space="0" w:color="auto"/>
            </w:tcBorders>
            <w:noWrap/>
            <w:vAlign w:val="center"/>
            <w:hideMark/>
          </w:tcPr>
          <w:p w14:paraId="3FC0D2B3" w14:textId="77777777" w:rsidR="00AA31A6" w:rsidRPr="004F497D" w:rsidRDefault="00AA31A6" w:rsidP="0093254D">
            <w:pPr>
              <w:ind w:left="360"/>
              <w:jc w:val="center"/>
              <w:rPr>
                <w:rFonts w:cs="Arial"/>
              </w:rPr>
            </w:pPr>
            <w:r w:rsidRPr="004F497D">
              <w:rPr>
                <w:rFonts w:cs="Arial"/>
              </w:rPr>
              <w:t xml:space="preserve">16 -20 </w:t>
            </w:r>
          </w:p>
        </w:tc>
        <w:tc>
          <w:tcPr>
            <w:tcW w:w="2415" w:type="dxa"/>
            <w:tcBorders>
              <w:top w:val="nil"/>
              <w:left w:val="nil"/>
              <w:bottom w:val="single" w:sz="4" w:space="0" w:color="auto"/>
              <w:right w:val="single" w:sz="4" w:space="0" w:color="auto"/>
            </w:tcBorders>
            <w:noWrap/>
            <w:vAlign w:val="center"/>
            <w:hideMark/>
          </w:tcPr>
          <w:p w14:paraId="635FFB5C" w14:textId="77777777" w:rsidR="00AA31A6" w:rsidRPr="004F497D" w:rsidRDefault="00AA31A6" w:rsidP="0093254D">
            <w:pPr>
              <w:ind w:left="360"/>
              <w:jc w:val="center"/>
              <w:rPr>
                <w:rFonts w:cs="Arial"/>
              </w:rPr>
            </w:pPr>
            <w:r w:rsidRPr="004F497D">
              <w:rPr>
                <w:rFonts w:cs="Arial"/>
              </w:rPr>
              <w:t>7.28</w:t>
            </w:r>
          </w:p>
        </w:tc>
        <w:tc>
          <w:tcPr>
            <w:tcW w:w="3150" w:type="dxa"/>
            <w:tcBorders>
              <w:top w:val="nil"/>
              <w:left w:val="nil"/>
              <w:bottom w:val="single" w:sz="4" w:space="0" w:color="auto"/>
              <w:right w:val="single" w:sz="4" w:space="0" w:color="auto"/>
            </w:tcBorders>
            <w:noWrap/>
            <w:vAlign w:val="center"/>
            <w:hideMark/>
          </w:tcPr>
          <w:p w14:paraId="743AEC8F" w14:textId="77777777" w:rsidR="00AA31A6" w:rsidRPr="004F497D" w:rsidRDefault="00AA31A6" w:rsidP="0093254D">
            <w:pPr>
              <w:ind w:left="360"/>
              <w:jc w:val="center"/>
              <w:rPr>
                <w:rFonts w:cs="Arial"/>
              </w:rPr>
            </w:pPr>
            <w:r w:rsidRPr="004F497D">
              <w:rPr>
                <w:rFonts w:cs="Arial"/>
              </w:rPr>
              <w:t>189.28</w:t>
            </w:r>
          </w:p>
        </w:tc>
      </w:tr>
      <w:tr w:rsidR="00AA31A6" w:rsidRPr="004F497D" w14:paraId="5E45DD65" w14:textId="77777777" w:rsidTr="00767D39">
        <w:trPr>
          <w:trHeight w:val="275"/>
        </w:trPr>
        <w:tc>
          <w:tcPr>
            <w:tcW w:w="1460" w:type="dxa"/>
            <w:tcBorders>
              <w:top w:val="single" w:sz="4" w:space="0" w:color="auto"/>
              <w:left w:val="single" w:sz="4" w:space="0" w:color="auto"/>
              <w:bottom w:val="single" w:sz="4" w:space="0" w:color="auto"/>
              <w:right w:val="single" w:sz="4" w:space="0" w:color="auto"/>
            </w:tcBorders>
            <w:noWrap/>
            <w:vAlign w:val="center"/>
            <w:hideMark/>
          </w:tcPr>
          <w:p w14:paraId="66C74A2D" w14:textId="77777777" w:rsidR="00AA31A6" w:rsidRPr="004F497D" w:rsidRDefault="00AA31A6" w:rsidP="0093254D">
            <w:pPr>
              <w:ind w:left="360"/>
              <w:jc w:val="center"/>
              <w:rPr>
                <w:rFonts w:cs="Arial"/>
              </w:rPr>
            </w:pPr>
            <w:r w:rsidRPr="004F497D">
              <w:rPr>
                <w:rFonts w:cs="Arial"/>
              </w:rPr>
              <w:t>21 -25</w:t>
            </w:r>
          </w:p>
        </w:tc>
        <w:tc>
          <w:tcPr>
            <w:tcW w:w="2415" w:type="dxa"/>
            <w:tcBorders>
              <w:top w:val="nil"/>
              <w:left w:val="nil"/>
              <w:bottom w:val="single" w:sz="4" w:space="0" w:color="auto"/>
              <w:right w:val="single" w:sz="4" w:space="0" w:color="auto"/>
            </w:tcBorders>
            <w:noWrap/>
            <w:vAlign w:val="center"/>
            <w:hideMark/>
          </w:tcPr>
          <w:p w14:paraId="067585F4" w14:textId="77777777" w:rsidR="00AA31A6" w:rsidRPr="004F497D" w:rsidRDefault="00AA31A6" w:rsidP="0093254D">
            <w:pPr>
              <w:ind w:left="360"/>
              <w:jc w:val="center"/>
              <w:rPr>
                <w:rFonts w:cs="Arial"/>
              </w:rPr>
            </w:pPr>
            <w:r w:rsidRPr="004F497D">
              <w:rPr>
                <w:rFonts w:cs="Arial"/>
              </w:rPr>
              <w:t>7.81</w:t>
            </w:r>
          </w:p>
        </w:tc>
        <w:tc>
          <w:tcPr>
            <w:tcW w:w="3150" w:type="dxa"/>
            <w:tcBorders>
              <w:top w:val="nil"/>
              <w:left w:val="nil"/>
              <w:bottom w:val="single" w:sz="4" w:space="0" w:color="auto"/>
              <w:right w:val="single" w:sz="4" w:space="0" w:color="auto"/>
            </w:tcBorders>
            <w:noWrap/>
            <w:vAlign w:val="center"/>
            <w:hideMark/>
          </w:tcPr>
          <w:p w14:paraId="65A0A0CE" w14:textId="77777777" w:rsidR="00AA31A6" w:rsidRPr="004F497D" w:rsidRDefault="00AA31A6" w:rsidP="0093254D">
            <w:pPr>
              <w:ind w:left="360"/>
              <w:jc w:val="center"/>
              <w:rPr>
                <w:rFonts w:cs="Arial"/>
              </w:rPr>
            </w:pPr>
            <w:r w:rsidRPr="004F497D">
              <w:rPr>
                <w:rFonts w:cs="Arial"/>
              </w:rPr>
              <w:t>203.06</w:t>
            </w:r>
          </w:p>
        </w:tc>
      </w:tr>
      <w:tr w:rsidR="00AA31A6" w:rsidRPr="004F497D" w14:paraId="773CCF2E" w14:textId="77777777" w:rsidTr="00767D39">
        <w:trPr>
          <w:trHeight w:val="275"/>
        </w:trPr>
        <w:tc>
          <w:tcPr>
            <w:tcW w:w="1460" w:type="dxa"/>
            <w:tcBorders>
              <w:top w:val="single" w:sz="4" w:space="0" w:color="auto"/>
              <w:left w:val="single" w:sz="4" w:space="0" w:color="auto"/>
              <w:bottom w:val="single" w:sz="4" w:space="0" w:color="auto"/>
              <w:right w:val="single" w:sz="4" w:space="0" w:color="auto"/>
            </w:tcBorders>
            <w:noWrap/>
            <w:vAlign w:val="center"/>
            <w:hideMark/>
          </w:tcPr>
          <w:p w14:paraId="394B4E5F" w14:textId="77777777" w:rsidR="00AA31A6" w:rsidRPr="004F497D" w:rsidRDefault="00AA31A6" w:rsidP="0093254D">
            <w:pPr>
              <w:ind w:left="360"/>
              <w:jc w:val="center"/>
              <w:rPr>
                <w:rFonts w:cs="Arial"/>
              </w:rPr>
            </w:pPr>
            <w:r w:rsidRPr="004F497D">
              <w:rPr>
                <w:rFonts w:cs="Arial"/>
              </w:rPr>
              <w:t>26-30</w:t>
            </w:r>
          </w:p>
        </w:tc>
        <w:tc>
          <w:tcPr>
            <w:tcW w:w="2415" w:type="dxa"/>
            <w:tcBorders>
              <w:top w:val="nil"/>
              <w:left w:val="nil"/>
              <w:bottom w:val="single" w:sz="4" w:space="0" w:color="auto"/>
              <w:right w:val="single" w:sz="4" w:space="0" w:color="auto"/>
            </w:tcBorders>
            <w:noWrap/>
            <w:vAlign w:val="center"/>
            <w:hideMark/>
          </w:tcPr>
          <w:p w14:paraId="190A74D2" w14:textId="77777777" w:rsidR="00AA31A6" w:rsidRPr="004F497D" w:rsidRDefault="00AA31A6" w:rsidP="0093254D">
            <w:pPr>
              <w:ind w:left="360"/>
              <w:jc w:val="center"/>
              <w:rPr>
                <w:rFonts w:cs="Arial"/>
              </w:rPr>
            </w:pPr>
            <w:r w:rsidRPr="004F497D">
              <w:rPr>
                <w:rFonts w:cs="Arial"/>
              </w:rPr>
              <w:t>8.69</w:t>
            </w:r>
          </w:p>
        </w:tc>
        <w:tc>
          <w:tcPr>
            <w:tcW w:w="3150" w:type="dxa"/>
            <w:tcBorders>
              <w:top w:val="nil"/>
              <w:left w:val="nil"/>
              <w:bottom w:val="single" w:sz="4" w:space="0" w:color="auto"/>
              <w:right w:val="single" w:sz="4" w:space="0" w:color="auto"/>
            </w:tcBorders>
            <w:noWrap/>
            <w:vAlign w:val="center"/>
            <w:hideMark/>
          </w:tcPr>
          <w:p w14:paraId="41305BC1" w14:textId="77777777" w:rsidR="00AA31A6" w:rsidRPr="004F497D" w:rsidRDefault="00AA31A6" w:rsidP="0093254D">
            <w:pPr>
              <w:ind w:left="360"/>
              <w:jc w:val="center"/>
              <w:rPr>
                <w:rFonts w:cs="Arial"/>
              </w:rPr>
            </w:pPr>
            <w:r w:rsidRPr="004F497D">
              <w:rPr>
                <w:rFonts w:cs="Arial"/>
              </w:rPr>
              <w:t>225.94</w:t>
            </w:r>
          </w:p>
        </w:tc>
      </w:tr>
      <w:tr w:rsidR="00AA31A6" w:rsidRPr="004F497D" w14:paraId="5B14D840" w14:textId="77777777" w:rsidTr="00767D39">
        <w:trPr>
          <w:trHeight w:val="275"/>
        </w:trPr>
        <w:tc>
          <w:tcPr>
            <w:tcW w:w="1460" w:type="dxa"/>
            <w:tcBorders>
              <w:top w:val="single" w:sz="4" w:space="0" w:color="auto"/>
              <w:left w:val="single" w:sz="4" w:space="0" w:color="auto"/>
              <w:bottom w:val="single" w:sz="4" w:space="0" w:color="auto"/>
              <w:right w:val="single" w:sz="4" w:space="0" w:color="auto"/>
            </w:tcBorders>
            <w:noWrap/>
            <w:vAlign w:val="center"/>
            <w:hideMark/>
          </w:tcPr>
          <w:p w14:paraId="72E51045" w14:textId="77777777" w:rsidR="00AA31A6" w:rsidRPr="004F497D" w:rsidRDefault="00AA31A6" w:rsidP="0093254D">
            <w:pPr>
              <w:ind w:left="360"/>
              <w:jc w:val="center"/>
              <w:rPr>
                <w:rFonts w:cs="Arial"/>
              </w:rPr>
            </w:pPr>
            <w:r w:rsidRPr="004F497D">
              <w:rPr>
                <w:rFonts w:cs="Arial"/>
              </w:rPr>
              <w:t>31+</w:t>
            </w:r>
          </w:p>
        </w:tc>
        <w:tc>
          <w:tcPr>
            <w:tcW w:w="2415" w:type="dxa"/>
            <w:tcBorders>
              <w:top w:val="nil"/>
              <w:left w:val="nil"/>
              <w:bottom w:val="single" w:sz="4" w:space="0" w:color="auto"/>
              <w:right w:val="single" w:sz="4" w:space="0" w:color="auto"/>
            </w:tcBorders>
            <w:noWrap/>
            <w:vAlign w:val="center"/>
            <w:hideMark/>
          </w:tcPr>
          <w:p w14:paraId="58AE0AF2" w14:textId="77777777" w:rsidR="00AA31A6" w:rsidRPr="004F497D" w:rsidRDefault="00AA31A6" w:rsidP="0093254D">
            <w:pPr>
              <w:ind w:left="360"/>
              <w:jc w:val="center"/>
              <w:rPr>
                <w:rFonts w:cs="Arial"/>
              </w:rPr>
            </w:pPr>
            <w:r w:rsidRPr="004F497D">
              <w:rPr>
                <w:rFonts w:cs="Arial"/>
              </w:rPr>
              <w:t>9.83</w:t>
            </w:r>
          </w:p>
        </w:tc>
        <w:tc>
          <w:tcPr>
            <w:tcW w:w="3150" w:type="dxa"/>
            <w:tcBorders>
              <w:top w:val="nil"/>
              <w:left w:val="nil"/>
              <w:bottom w:val="single" w:sz="4" w:space="0" w:color="auto"/>
              <w:right w:val="single" w:sz="4" w:space="0" w:color="auto"/>
            </w:tcBorders>
            <w:noWrap/>
            <w:vAlign w:val="center"/>
            <w:hideMark/>
          </w:tcPr>
          <w:p w14:paraId="27E6C4B3" w14:textId="77777777" w:rsidR="00AA31A6" w:rsidRPr="004F497D" w:rsidRDefault="00AA31A6" w:rsidP="0093254D">
            <w:pPr>
              <w:ind w:left="360"/>
              <w:jc w:val="center"/>
              <w:rPr>
                <w:rFonts w:cs="Arial"/>
              </w:rPr>
            </w:pPr>
            <w:r w:rsidRPr="004F497D">
              <w:rPr>
                <w:rFonts w:cs="Arial"/>
              </w:rPr>
              <w:t>255.58</w:t>
            </w:r>
          </w:p>
        </w:tc>
      </w:tr>
    </w:tbl>
    <w:p w14:paraId="49B8E531" w14:textId="77777777" w:rsidR="00AA31A6" w:rsidRPr="004F497D" w:rsidRDefault="00AA31A6" w:rsidP="00AA31A6">
      <w:pPr>
        <w:widowControl w:val="0"/>
        <w:ind w:left="360"/>
        <w:rPr>
          <w:rFonts w:cs="Arial"/>
          <w:snapToGrid w:val="0"/>
        </w:rPr>
      </w:pPr>
    </w:p>
    <w:p w14:paraId="553D6FC0" w14:textId="77777777" w:rsidR="00AA31A6" w:rsidRDefault="00AA31A6" w:rsidP="00AA31A6">
      <w:pPr>
        <w:pStyle w:val="ListParagraph"/>
        <w:widowControl w:val="0"/>
        <w:rPr>
          <w:rFonts w:ascii="Arial" w:hAnsi="Arial" w:cs="Arial"/>
          <w:snapToGrid w:val="0"/>
        </w:rPr>
      </w:pPr>
    </w:p>
    <w:p w14:paraId="43587681" w14:textId="6EF25780" w:rsidR="00AA31A6" w:rsidRPr="00AA31A6" w:rsidRDefault="00AA31A6" w:rsidP="00AA31A6">
      <w:pPr>
        <w:pStyle w:val="ListParagraph"/>
        <w:widowControl w:val="0"/>
        <w:rPr>
          <w:rFonts w:ascii="Arial" w:hAnsi="Arial" w:cs="Arial"/>
          <w:snapToGrid w:val="0"/>
        </w:rPr>
      </w:pPr>
      <w:r w:rsidRPr="004F497D">
        <w:rPr>
          <w:rFonts w:ascii="Arial" w:hAnsi="Arial" w:cs="Arial"/>
          <w:snapToGrid w:val="0"/>
        </w:rPr>
        <w:t xml:space="preserve">The accrual rate for Part-time is as follows: </w:t>
      </w:r>
    </w:p>
    <w:tbl>
      <w:tblPr>
        <w:tblW w:w="6935" w:type="dxa"/>
        <w:tblInd w:w="710" w:type="dxa"/>
        <w:tblLook w:val="04A0" w:firstRow="1" w:lastRow="0" w:firstColumn="1" w:lastColumn="0" w:noHBand="0" w:noVBand="1"/>
      </w:tblPr>
      <w:tblGrid>
        <w:gridCol w:w="3605"/>
        <w:gridCol w:w="3330"/>
      </w:tblGrid>
      <w:tr w:rsidR="00AA31A6" w:rsidRPr="004F497D" w14:paraId="715A455D" w14:textId="77777777" w:rsidTr="0093254D">
        <w:trPr>
          <w:trHeight w:val="701"/>
        </w:trPr>
        <w:tc>
          <w:tcPr>
            <w:tcW w:w="360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3C71C4A" w14:textId="77777777" w:rsidR="00AA31A6" w:rsidRPr="004F497D" w:rsidRDefault="00AA31A6" w:rsidP="0093254D">
            <w:pPr>
              <w:ind w:left="360"/>
              <w:rPr>
                <w:rFonts w:cs="Arial"/>
                <w:b/>
                <w:bCs/>
              </w:rPr>
            </w:pPr>
            <w:r w:rsidRPr="004F497D">
              <w:rPr>
                <w:rFonts w:cs="Arial"/>
                <w:b/>
                <w:bCs/>
              </w:rPr>
              <w:t xml:space="preserve">PTO Hours Accrued per </w:t>
            </w:r>
            <w:proofErr w:type="gramStart"/>
            <w:r w:rsidRPr="004F497D">
              <w:rPr>
                <w:rFonts w:cs="Arial"/>
                <w:b/>
                <w:bCs/>
              </w:rPr>
              <w:t>pay  Period</w:t>
            </w:r>
            <w:proofErr w:type="gramEnd"/>
          </w:p>
          <w:p w14:paraId="78950C29" w14:textId="77777777" w:rsidR="00AA31A6" w:rsidRPr="004F497D" w:rsidRDefault="00AA31A6" w:rsidP="0093254D">
            <w:pPr>
              <w:ind w:left="360"/>
              <w:rPr>
                <w:rFonts w:cs="Arial"/>
                <w:b/>
                <w:bCs/>
              </w:rPr>
            </w:pPr>
            <w:r w:rsidRPr="004F497D">
              <w:rPr>
                <w:rFonts w:cs="Arial"/>
                <w:b/>
                <w:bCs/>
              </w:rPr>
              <w:t>(</w:t>
            </w:r>
            <w:proofErr w:type="gramStart"/>
            <w:r w:rsidRPr="004F497D">
              <w:rPr>
                <w:rFonts w:cs="Arial"/>
                <w:b/>
                <w:bCs/>
              </w:rPr>
              <w:t>based</w:t>
            </w:r>
            <w:proofErr w:type="gramEnd"/>
            <w:r w:rsidRPr="004F497D">
              <w:rPr>
                <w:rFonts w:cs="Arial"/>
                <w:b/>
                <w:bCs/>
              </w:rPr>
              <w:t xml:space="preserve"> on 29-hour work week)</w:t>
            </w:r>
          </w:p>
        </w:tc>
        <w:tc>
          <w:tcPr>
            <w:tcW w:w="3330" w:type="dxa"/>
            <w:tcBorders>
              <w:top w:val="single" w:sz="4" w:space="0" w:color="auto"/>
              <w:left w:val="nil"/>
              <w:bottom w:val="single" w:sz="4" w:space="0" w:color="auto"/>
              <w:right w:val="single" w:sz="4" w:space="0" w:color="auto"/>
            </w:tcBorders>
            <w:shd w:val="clear" w:color="auto" w:fill="D9D9D9"/>
            <w:vAlign w:val="bottom"/>
            <w:hideMark/>
          </w:tcPr>
          <w:p w14:paraId="09007377" w14:textId="77777777" w:rsidR="00AA31A6" w:rsidRPr="004F497D" w:rsidRDefault="00AA31A6" w:rsidP="0093254D">
            <w:pPr>
              <w:ind w:left="360"/>
              <w:rPr>
                <w:rFonts w:cs="Arial"/>
                <w:b/>
                <w:bCs/>
              </w:rPr>
            </w:pPr>
            <w:r w:rsidRPr="004F497D">
              <w:rPr>
                <w:rFonts w:cs="Arial"/>
                <w:b/>
                <w:bCs/>
              </w:rPr>
              <w:t xml:space="preserve">PTO Hours Per Year            </w:t>
            </w:r>
            <w:proofErr w:type="gramStart"/>
            <w:r w:rsidRPr="004F497D">
              <w:rPr>
                <w:rFonts w:cs="Arial"/>
                <w:b/>
                <w:bCs/>
              </w:rPr>
              <w:t xml:space="preserve">   (</w:t>
            </w:r>
            <w:proofErr w:type="gramEnd"/>
            <w:r w:rsidRPr="004F497D">
              <w:rPr>
                <w:rFonts w:cs="Arial"/>
                <w:b/>
                <w:bCs/>
              </w:rPr>
              <w:t xml:space="preserve">PTO </w:t>
            </w:r>
            <w:proofErr w:type="spellStart"/>
            <w:r w:rsidRPr="004F497D">
              <w:rPr>
                <w:rFonts w:cs="Arial"/>
                <w:b/>
                <w:bCs/>
              </w:rPr>
              <w:t>hrs</w:t>
            </w:r>
            <w:proofErr w:type="spellEnd"/>
            <w:r w:rsidRPr="004F497D">
              <w:rPr>
                <w:rFonts w:cs="Arial"/>
                <w:b/>
                <w:bCs/>
              </w:rPr>
              <w:t xml:space="preserve"> Accrued PP x 26)</w:t>
            </w:r>
          </w:p>
        </w:tc>
      </w:tr>
      <w:tr w:rsidR="00AA31A6" w:rsidRPr="004F497D" w14:paraId="0241F628" w14:textId="77777777" w:rsidTr="0093254D">
        <w:trPr>
          <w:trHeight w:val="275"/>
        </w:trPr>
        <w:tc>
          <w:tcPr>
            <w:tcW w:w="3605" w:type="dxa"/>
            <w:tcBorders>
              <w:top w:val="single" w:sz="4" w:space="0" w:color="auto"/>
              <w:left w:val="single" w:sz="4" w:space="0" w:color="auto"/>
              <w:bottom w:val="single" w:sz="4" w:space="0" w:color="auto"/>
              <w:right w:val="single" w:sz="4" w:space="0" w:color="auto"/>
            </w:tcBorders>
            <w:noWrap/>
            <w:vAlign w:val="center"/>
            <w:hideMark/>
          </w:tcPr>
          <w:p w14:paraId="2F23F646" w14:textId="77777777" w:rsidR="00AA31A6" w:rsidRPr="004F497D" w:rsidRDefault="00AA31A6" w:rsidP="0093254D">
            <w:pPr>
              <w:ind w:left="360"/>
              <w:jc w:val="center"/>
              <w:rPr>
                <w:rFonts w:cs="Arial"/>
              </w:rPr>
            </w:pPr>
            <w:r w:rsidRPr="004F497D">
              <w:rPr>
                <w:rFonts w:cs="Arial"/>
              </w:rPr>
              <w:t>1.1153 hours</w:t>
            </w:r>
          </w:p>
        </w:tc>
        <w:tc>
          <w:tcPr>
            <w:tcW w:w="3330" w:type="dxa"/>
            <w:tcBorders>
              <w:top w:val="nil"/>
              <w:left w:val="nil"/>
              <w:bottom w:val="single" w:sz="4" w:space="0" w:color="auto"/>
              <w:right w:val="single" w:sz="4" w:space="0" w:color="auto"/>
            </w:tcBorders>
            <w:noWrap/>
            <w:vAlign w:val="center"/>
            <w:hideMark/>
          </w:tcPr>
          <w:p w14:paraId="11ABAE14" w14:textId="77777777" w:rsidR="00AA31A6" w:rsidRPr="004F497D" w:rsidRDefault="00AA31A6" w:rsidP="0093254D">
            <w:pPr>
              <w:ind w:left="360"/>
              <w:jc w:val="center"/>
              <w:rPr>
                <w:rFonts w:cs="Arial"/>
              </w:rPr>
            </w:pPr>
            <w:r w:rsidRPr="004F497D">
              <w:rPr>
                <w:rFonts w:cs="Arial"/>
              </w:rPr>
              <w:t>28.99884 hours</w:t>
            </w:r>
          </w:p>
        </w:tc>
      </w:tr>
    </w:tbl>
    <w:p w14:paraId="378D1B8C" w14:textId="77777777" w:rsidR="00AA31A6" w:rsidRPr="004F497D" w:rsidRDefault="00AA31A6" w:rsidP="00AA31A6">
      <w:pPr>
        <w:ind w:left="360"/>
        <w:rPr>
          <w:rFonts w:cs="Arial"/>
          <w:snapToGrid w:val="0"/>
        </w:rPr>
      </w:pPr>
    </w:p>
    <w:p w14:paraId="3B669A7C" w14:textId="77777777" w:rsidR="00AA31A6" w:rsidRPr="004F497D" w:rsidRDefault="00AA31A6" w:rsidP="00AA31A6">
      <w:pPr>
        <w:pStyle w:val="ListParagraph"/>
        <w:numPr>
          <w:ilvl w:val="0"/>
          <w:numId w:val="1"/>
        </w:numPr>
        <w:spacing w:after="0" w:line="240" w:lineRule="auto"/>
        <w:rPr>
          <w:rFonts w:ascii="Arial" w:hAnsi="Arial" w:cs="Arial"/>
          <w:snapToGrid w:val="0"/>
        </w:rPr>
      </w:pPr>
      <w:r w:rsidRPr="004F497D">
        <w:rPr>
          <w:rFonts w:ascii="Arial" w:hAnsi="Arial" w:cs="Arial"/>
          <w:snapToGrid w:val="0"/>
        </w:rPr>
        <w:t xml:space="preserve">Temporary, seasonal, or on-call (per diem) employees, as defined by Nevada law, are not eligible for PTO.   </w:t>
      </w:r>
    </w:p>
    <w:p w14:paraId="6A41629B" w14:textId="77777777" w:rsidR="00AA31A6" w:rsidRPr="004F497D" w:rsidRDefault="00AA31A6" w:rsidP="00AA31A6">
      <w:pPr>
        <w:pStyle w:val="ListParagraph"/>
        <w:rPr>
          <w:rFonts w:ascii="Arial" w:hAnsi="Arial" w:cs="Arial"/>
          <w:snapToGrid w:val="0"/>
        </w:rPr>
      </w:pPr>
    </w:p>
    <w:p w14:paraId="6970D329" w14:textId="77777777" w:rsidR="00AA31A6" w:rsidRPr="004F497D" w:rsidRDefault="00AA31A6" w:rsidP="00AA31A6">
      <w:pPr>
        <w:pStyle w:val="ListParagraph"/>
        <w:widowControl w:val="0"/>
        <w:numPr>
          <w:ilvl w:val="0"/>
          <w:numId w:val="1"/>
        </w:numPr>
        <w:spacing w:after="0" w:line="240" w:lineRule="auto"/>
        <w:rPr>
          <w:rFonts w:ascii="Arial" w:hAnsi="Arial" w:cs="Arial"/>
          <w:snapToGrid w:val="0"/>
        </w:rPr>
      </w:pPr>
      <w:r w:rsidRPr="004F497D">
        <w:rPr>
          <w:rFonts w:ascii="Arial" w:hAnsi="Arial" w:cs="Arial"/>
        </w:rPr>
        <w:t>Full-time Employees with sixteen (16) hours or less of unscheduled absences in a calendar year will receive an “Attendance PTO” (8 hour) day.</w:t>
      </w:r>
    </w:p>
    <w:p w14:paraId="2861B997" w14:textId="77777777" w:rsidR="00AA31A6" w:rsidRPr="004F497D" w:rsidRDefault="00AA31A6" w:rsidP="00AA31A6">
      <w:pPr>
        <w:pStyle w:val="ListParagraph"/>
        <w:widowControl w:val="0"/>
        <w:rPr>
          <w:rFonts w:ascii="Arial" w:hAnsi="Arial" w:cs="Arial"/>
          <w:snapToGrid w:val="0"/>
        </w:rPr>
      </w:pPr>
    </w:p>
    <w:p w14:paraId="4819ACB2" w14:textId="77777777" w:rsidR="00AA31A6" w:rsidRPr="004F497D" w:rsidRDefault="00AA31A6" w:rsidP="00AA31A6">
      <w:pPr>
        <w:pStyle w:val="ListParagraph"/>
        <w:widowControl w:val="0"/>
        <w:rPr>
          <w:rFonts w:ascii="Arial" w:hAnsi="Arial" w:cs="Arial"/>
          <w:snapToGrid w:val="0"/>
        </w:rPr>
      </w:pPr>
      <w:r w:rsidRPr="004F497D">
        <w:rPr>
          <w:rFonts w:ascii="Arial" w:hAnsi="Arial" w:cs="Arial"/>
        </w:rPr>
        <w:lastRenderedPageBreak/>
        <w:t>To qualify an employee:</w:t>
      </w:r>
    </w:p>
    <w:p w14:paraId="1C031683" w14:textId="77777777" w:rsidR="00AA31A6" w:rsidRPr="004F497D" w:rsidRDefault="00AA31A6" w:rsidP="00AA31A6">
      <w:pPr>
        <w:pStyle w:val="ListParagraph"/>
        <w:numPr>
          <w:ilvl w:val="1"/>
          <w:numId w:val="2"/>
        </w:numPr>
        <w:spacing w:after="0" w:line="240" w:lineRule="auto"/>
        <w:rPr>
          <w:rFonts w:ascii="Arial" w:hAnsi="Arial" w:cs="Arial"/>
        </w:rPr>
      </w:pPr>
      <w:r w:rsidRPr="004F497D">
        <w:rPr>
          <w:rFonts w:ascii="Arial" w:hAnsi="Arial" w:cs="Arial"/>
        </w:rPr>
        <w:t>Must be employed for one year.</w:t>
      </w:r>
    </w:p>
    <w:p w14:paraId="3D835E01" w14:textId="77777777" w:rsidR="00AA31A6" w:rsidRPr="004F497D" w:rsidRDefault="00AA31A6" w:rsidP="00AA31A6">
      <w:pPr>
        <w:pStyle w:val="ListParagraph"/>
        <w:numPr>
          <w:ilvl w:val="1"/>
          <w:numId w:val="2"/>
        </w:numPr>
        <w:spacing w:after="0" w:line="240" w:lineRule="auto"/>
        <w:rPr>
          <w:rFonts w:ascii="Arial" w:hAnsi="Arial" w:cs="Arial"/>
        </w:rPr>
      </w:pPr>
      <w:r w:rsidRPr="004F497D">
        <w:rPr>
          <w:rFonts w:ascii="Arial" w:hAnsi="Arial" w:cs="Arial"/>
        </w:rPr>
        <w:t>Must be employed as of January 1</w:t>
      </w:r>
      <w:r w:rsidRPr="004F497D">
        <w:rPr>
          <w:rFonts w:ascii="Arial" w:hAnsi="Arial" w:cs="Arial"/>
          <w:vertAlign w:val="superscript"/>
        </w:rPr>
        <w:t>st</w:t>
      </w:r>
      <w:r w:rsidRPr="004F497D">
        <w:rPr>
          <w:rFonts w:ascii="Arial" w:hAnsi="Arial" w:cs="Arial"/>
        </w:rPr>
        <w:t xml:space="preserve"> </w:t>
      </w:r>
    </w:p>
    <w:p w14:paraId="73BA31F7" w14:textId="77777777" w:rsidR="00AA31A6" w:rsidRPr="004F497D" w:rsidRDefault="00AA31A6" w:rsidP="00AA31A6">
      <w:pPr>
        <w:pStyle w:val="ListParagraph"/>
        <w:numPr>
          <w:ilvl w:val="1"/>
          <w:numId w:val="2"/>
        </w:numPr>
        <w:spacing w:after="0" w:line="240" w:lineRule="auto"/>
        <w:rPr>
          <w:rFonts w:ascii="Arial" w:hAnsi="Arial" w:cs="Arial"/>
        </w:rPr>
      </w:pPr>
      <w:r w:rsidRPr="004F497D">
        <w:rPr>
          <w:rFonts w:ascii="Arial" w:hAnsi="Arial" w:cs="Arial"/>
        </w:rPr>
        <w:t xml:space="preserve">Remain continuously employed for the entire calendar year </w:t>
      </w:r>
    </w:p>
    <w:p w14:paraId="491BB642" w14:textId="77777777" w:rsidR="00AA31A6" w:rsidRPr="004F497D" w:rsidRDefault="00AA31A6" w:rsidP="00AA31A6">
      <w:pPr>
        <w:pStyle w:val="ListParagraph"/>
        <w:numPr>
          <w:ilvl w:val="1"/>
          <w:numId w:val="2"/>
        </w:numPr>
        <w:spacing w:after="0" w:line="240" w:lineRule="auto"/>
        <w:rPr>
          <w:rFonts w:ascii="Arial" w:hAnsi="Arial" w:cs="Arial"/>
        </w:rPr>
      </w:pPr>
      <w:r w:rsidRPr="004F497D">
        <w:rPr>
          <w:rFonts w:ascii="Arial" w:hAnsi="Arial" w:cs="Arial"/>
        </w:rPr>
        <w:t>Have no disciplinary write ups.</w:t>
      </w:r>
    </w:p>
    <w:p w14:paraId="472BE09C" w14:textId="77777777" w:rsidR="00AA31A6" w:rsidRPr="004F497D" w:rsidRDefault="00AA31A6" w:rsidP="00AA31A6">
      <w:pPr>
        <w:pStyle w:val="ListParagraph"/>
        <w:ind w:left="1440"/>
        <w:rPr>
          <w:rFonts w:ascii="Arial" w:hAnsi="Arial" w:cs="Arial"/>
        </w:rPr>
      </w:pPr>
    </w:p>
    <w:p w14:paraId="4016E9F9" w14:textId="2BDD53C3" w:rsidR="00AA31A6" w:rsidRDefault="00AA31A6" w:rsidP="00AA31A6">
      <w:pPr>
        <w:pStyle w:val="ListParagraph"/>
        <w:rPr>
          <w:rFonts w:ascii="Arial" w:hAnsi="Arial" w:cs="Arial"/>
        </w:rPr>
      </w:pPr>
      <w:r w:rsidRPr="004F497D">
        <w:rPr>
          <w:rFonts w:ascii="Arial" w:hAnsi="Arial" w:cs="Arial"/>
        </w:rPr>
        <w:t>The “Attendance PTO” day is not eligible to be carried over from one year to another, it must be used during the calendar year it is granted. Not eligible to be paid out with PTO on final checks if unused prior to termination.</w:t>
      </w:r>
    </w:p>
    <w:p w14:paraId="64E31A22" w14:textId="79379286" w:rsidR="00AA31A6" w:rsidRPr="00AA31A6" w:rsidRDefault="00AA31A6" w:rsidP="00AA31A6">
      <w:pPr>
        <w:pStyle w:val="ListParagraph"/>
        <w:rPr>
          <w:rFonts w:ascii="Arial" w:hAnsi="Arial" w:cs="Arial"/>
        </w:rPr>
      </w:pPr>
    </w:p>
    <w:p w14:paraId="4A1ADBBC" w14:textId="3FD8BF81" w:rsidR="00AA31A6" w:rsidRPr="004F497D" w:rsidRDefault="00AA31A6" w:rsidP="00AA31A6">
      <w:pPr>
        <w:pStyle w:val="ListParagraph"/>
        <w:widowControl w:val="0"/>
        <w:numPr>
          <w:ilvl w:val="0"/>
          <w:numId w:val="1"/>
        </w:numPr>
        <w:tabs>
          <w:tab w:val="left" w:pos="-1440"/>
        </w:tabs>
        <w:spacing w:after="0" w:line="240" w:lineRule="auto"/>
        <w:rPr>
          <w:rFonts w:ascii="Arial" w:hAnsi="Arial" w:cs="Arial"/>
          <w:snapToGrid w:val="0"/>
        </w:rPr>
      </w:pPr>
      <w:r w:rsidRPr="004F497D">
        <w:rPr>
          <w:rFonts w:ascii="Arial" w:hAnsi="Arial" w:cs="Arial"/>
          <w:snapToGrid w:val="0"/>
        </w:rPr>
        <w:t>Full/Part-time Employee begins to earn paid time off on their first day of employment. However, may not use any PTO until the first day of the month following 90 days of employment.</w:t>
      </w:r>
      <w:r>
        <w:rPr>
          <w:rFonts w:ascii="Arial" w:hAnsi="Arial" w:cs="Arial"/>
          <w:snapToGrid w:val="0"/>
        </w:rPr>
        <w:br/>
      </w:r>
    </w:p>
    <w:p w14:paraId="77491565" w14:textId="30797DB8" w:rsidR="00AA31A6" w:rsidRPr="004F497D" w:rsidRDefault="00AA31A6" w:rsidP="00AA31A6">
      <w:pPr>
        <w:pStyle w:val="ListParagraph"/>
        <w:widowControl w:val="0"/>
        <w:numPr>
          <w:ilvl w:val="0"/>
          <w:numId w:val="1"/>
        </w:numPr>
        <w:tabs>
          <w:tab w:val="left" w:pos="-1440"/>
        </w:tabs>
        <w:spacing w:after="0" w:line="240" w:lineRule="auto"/>
        <w:rPr>
          <w:rFonts w:ascii="Arial" w:hAnsi="Arial" w:cs="Arial"/>
          <w:snapToGrid w:val="0"/>
        </w:rPr>
      </w:pPr>
      <w:r w:rsidRPr="004F497D">
        <w:rPr>
          <w:rFonts w:ascii="Arial" w:hAnsi="Arial" w:cs="Arial"/>
          <w:snapToGrid w:val="0"/>
        </w:rPr>
        <w:t>Paid time off will not accrue during leaves of absences of more than two (2) weeks.</w:t>
      </w:r>
      <w:r>
        <w:rPr>
          <w:rFonts w:ascii="Arial" w:hAnsi="Arial" w:cs="Arial"/>
          <w:snapToGrid w:val="0"/>
        </w:rPr>
        <w:br/>
      </w:r>
    </w:p>
    <w:p w14:paraId="656AC725" w14:textId="169014C5" w:rsidR="00AA31A6" w:rsidRPr="004F497D" w:rsidRDefault="00AA31A6" w:rsidP="00AA31A6">
      <w:pPr>
        <w:pStyle w:val="ListParagraph"/>
        <w:widowControl w:val="0"/>
        <w:numPr>
          <w:ilvl w:val="0"/>
          <w:numId w:val="1"/>
        </w:numPr>
        <w:tabs>
          <w:tab w:val="left" w:pos="-1440"/>
        </w:tabs>
        <w:spacing w:after="0" w:line="240" w:lineRule="auto"/>
        <w:rPr>
          <w:rFonts w:ascii="Arial" w:hAnsi="Arial" w:cs="Arial"/>
          <w:snapToGrid w:val="0"/>
        </w:rPr>
      </w:pPr>
      <w:r w:rsidRPr="004F497D">
        <w:rPr>
          <w:rFonts w:ascii="Arial" w:hAnsi="Arial" w:cs="Arial"/>
          <w:snapToGrid w:val="0"/>
        </w:rPr>
        <w:t xml:space="preserve">Employees are required to provide their supervisor with reasonable advance notice (2 weeks) prior to using PTO. This will allow employees and their supervisor to prepare for time off and assure that staffing needs are met. </w:t>
      </w:r>
      <w:r>
        <w:rPr>
          <w:rFonts w:ascii="Arial" w:hAnsi="Arial" w:cs="Arial"/>
          <w:snapToGrid w:val="0"/>
        </w:rPr>
        <w:br/>
      </w:r>
    </w:p>
    <w:p w14:paraId="1F5C7417" w14:textId="77777777" w:rsidR="00AA31A6" w:rsidRPr="004F497D" w:rsidRDefault="00AA31A6" w:rsidP="00AA31A6">
      <w:pPr>
        <w:pStyle w:val="ListParagraph"/>
        <w:widowControl w:val="0"/>
        <w:numPr>
          <w:ilvl w:val="0"/>
          <w:numId w:val="1"/>
        </w:numPr>
        <w:tabs>
          <w:tab w:val="left" w:pos="-1440"/>
        </w:tabs>
        <w:spacing w:after="0" w:line="240" w:lineRule="auto"/>
        <w:rPr>
          <w:rFonts w:ascii="Arial" w:hAnsi="Arial" w:cs="Arial"/>
          <w:snapToGrid w:val="0"/>
        </w:rPr>
      </w:pPr>
      <w:r w:rsidRPr="004F497D">
        <w:rPr>
          <w:rFonts w:ascii="Arial" w:hAnsi="Arial" w:cs="Arial"/>
          <w:snapToGrid w:val="0"/>
        </w:rPr>
        <w:t xml:space="preserve">If an employee needs to use PTO for a pre-arranged appointment (doctor’s visit, court appointment, etc.) they are encouraged to use only that amount of PTO time required for the appointment and report to work during non-appointment work hours. The employee </w:t>
      </w:r>
      <w:r w:rsidRPr="004F497D">
        <w:rPr>
          <w:rFonts w:ascii="Arial" w:hAnsi="Arial" w:cs="Arial"/>
          <w:b/>
          <w:snapToGrid w:val="0"/>
        </w:rPr>
        <w:t>may</w:t>
      </w:r>
      <w:r w:rsidRPr="004F497D">
        <w:rPr>
          <w:rFonts w:ascii="Arial" w:hAnsi="Arial" w:cs="Arial"/>
          <w:snapToGrid w:val="0"/>
        </w:rPr>
        <w:t xml:space="preserve"> be required to provide original documentation (</w:t>
      </w:r>
      <w:proofErr w:type="gramStart"/>
      <w:r w:rsidRPr="004F497D">
        <w:rPr>
          <w:rFonts w:ascii="Arial" w:hAnsi="Arial" w:cs="Arial"/>
          <w:snapToGrid w:val="0"/>
        </w:rPr>
        <w:t>i.e.</w:t>
      </w:r>
      <w:proofErr w:type="gramEnd"/>
      <w:r w:rsidRPr="004F497D">
        <w:rPr>
          <w:rFonts w:ascii="Arial" w:hAnsi="Arial" w:cs="Arial"/>
          <w:snapToGrid w:val="0"/>
        </w:rPr>
        <w:t xml:space="preserve"> doctors note, subpoena) to certify reason for absence.</w:t>
      </w:r>
    </w:p>
    <w:p w14:paraId="38DE6448" w14:textId="77777777" w:rsidR="00AA31A6" w:rsidRPr="004F497D" w:rsidRDefault="00AA31A6" w:rsidP="00AA31A6">
      <w:pPr>
        <w:pStyle w:val="BodyText3"/>
        <w:ind w:left="360" w:right="2160"/>
        <w:jc w:val="left"/>
        <w:rPr>
          <w:rFonts w:cs="Arial"/>
          <w:snapToGrid/>
          <w:sz w:val="22"/>
          <w:szCs w:val="22"/>
        </w:rPr>
      </w:pPr>
    </w:p>
    <w:p w14:paraId="46B9F466" w14:textId="77777777" w:rsidR="00AA31A6" w:rsidRPr="004F497D" w:rsidRDefault="00AA31A6" w:rsidP="00AA31A6">
      <w:pPr>
        <w:pStyle w:val="BodyText3"/>
        <w:numPr>
          <w:ilvl w:val="0"/>
          <w:numId w:val="1"/>
        </w:numPr>
        <w:jc w:val="left"/>
        <w:rPr>
          <w:rFonts w:cs="Arial"/>
          <w:sz w:val="22"/>
          <w:szCs w:val="22"/>
        </w:rPr>
      </w:pPr>
      <w:r w:rsidRPr="004F497D">
        <w:rPr>
          <w:rFonts w:cs="Arial"/>
          <w:sz w:val="22"/>
          <w:szCs w:val="22"/>
        </w:rPr>
        <w:t xml:space="preserve">All requests for PTO will be granted on a first come, first serve </w:t>
      </w:r>
      <w:proofErr w:type="gramStart"/>
      <w:r w:rsidRPr="004F497D">
        <w:rPr>
          <w:rFonts w:cs="Arial"/>
          <w:sz w:val="22"/>
          <w:szCs w:val="22"/>
        </w:rPr>
        <w:t>basis</w:t>
      </w:r>
      <w:proofErr w:type="gramEnd"/>
      <w:r w:rsidRPr="004F497D">
        <w:rPr>
          <w:rFonts w:cs="Arial"/>
          <w:sz w:val="22"/>
          <w:szCs w:val="22"/>
        </w:rPr>
        <w:t xml:space="preserve"> and based upon business necessity. Management reserves the right to limit the number of employees who are granted PTO at the same time. It is the employee’s responsibility to check their PTO balance prior to requesting time off.</w:t>
      </w:r>
    </w:p>
    <w:p w14:paraId="66E1C984" w14:textId="77777777" w:rsidR="00AA31A6" w:rsidRPr="004F497D" w:rsidRDefault="00AA31A6" w:rsidP="00AA31A6">
      <w:pPr>
        <w:pStyle w:val="BodyText3"/>
        <w:ind w:left="360"/>
        <w:jc w:val="left"/>
        <w:rPr>
          <w:rFonts w:cs="Arial"/>
          <w:sz w:val="22"/>
          <w:szCs w:val="22"/>
        </w:rPr>
      </w:pPr>
    </w:p>
    <w:p w14:paraId="7EFCAC55" w14:textId="77777777" w:rsidR="00AA31A6" w:rsidRPr="004F497D" w:rsidRDefault="00AA31A6" w:rsidP="00AA31A6">
      <w:pPr>
        <w:pStyle w:val="BodyText3"/>
        <w:numPr>
          <w:ilvl w:val="0"/>
          <w:numId w:val="1"/>
        </w:numPr>
        <w:jc w:val="left"/>
        <w:rPr>
          <w:rFonts w:cs="Arial"/>
          <w:sz w:val="22"/>
          <w:szCs w:val="22"/>
        </w:rPr>
      </w:pPr>
      <w:r w:rsidRPr="004F497D">
        <w:rPr>
          <w:rFonts w:cs="Arial"/>
          <w:sz w:val="22"/>
          <w:szCs w:val="22"/>
        </w:rPr>
        <w:t>Absence due to illness of three (3) or more consecutive days will require a medical release to return to work.</w:t>
      </w:r>
    </w:p>
    <w:p w14:paraId="3E6C41D9" w14:textId="77777777" w:rsidR="00AA31A6" w:rsidRPr="004F497D" w:rsidRDefault="00AA31A6" w:rsidP="00AA31A6">
      <w:pPr>
        <w:pStyle w:val="BodyText3"/>
        <w:ind w:left="360"/>
        <w:jc w:val="left"/>
        <w:rPr>
          <w:rFonts w:cs="Arial"/>
          <w:sz w:val="22"/>
          <w:szCs w:val="22"/>
        </w:rPr>
      </w:pPr>
    </w:p>
    <w:p w14:paraId="5A26FD2B" w14:textId="77777777" w:rsidR="00AA31A6" w:rsidRPr="004F497D" w:rsidRDefault="00AA31A6" w:rsidP="00AA31A6">
      <w:pPr>
        <w:pStyle w:val="BodyText3"/>
        <w:numPr>
          <w:ilvl w:val="0"/>
          <w:numId w:val="1"/>
        </w:numPr>
        <w:jc w:val="left"/>
        <w:rPr>
          <w:rFonts w:cs="Arial"/>
          <w:sz w:val="22"/>
          <w:szCs w:val="22"/>
        </w:rPr>
      </w:pPr>
      <w:r w:rsidRPr="004F497D">
        <w:rPr>
          <w:rFonts w:cs="Arial"/>
          <w:sz w:val="22"/>
          <w:szCs w:val="22"/>
        </w:rPr>
        <w:t>Preplanned absences for medical reasons may qualify for leave under the Family and Medical Leave Act. Contact Human Resources for additional information.</w:t>
      </w:r>
    </w:p>
    <w:p w14:paraId="24CB4492" w14:textId="77777777" w:rsidR="00AA31A6" w:rsidRPr="004F497D" w:rsidRDefault="00AA31A6" w:rsidP="00AA31A6">
      <w:pPr>
        <w:pStyle w:val="BodyText3"/>
        <w:ind w:left="360"/>
        <w:jc w:val="left"/>
        <w:rPr>
          <w:rFonts w:cs="Arial"/>
          <w:sz w:val="22"/>
          <w:szCs w:val="22"/>
        </w:rPr>
      </w:pPr>
    </w:p>
    <w:p w14:paraId="4E48CA04" w14:textId="5DD38A7D" w:rsidR="00AA31A6" w:rsidRPr="00AA31A6" w:rsidRDefault="00AA31A6" w:rsidP="00AA31A6">
      <w:pPr>
        <w:pStyle w:val="ListParagraph"/>
        <w:widowControl w:val="0"/>
        <w:numPr>
          <w:ilvl w:val="0"/>
          <w:numId w:val="1"/>
        </w:numPr>
        <w:tabs>
          <w:tab w:val="left" w:pos="-1440"/>
        </w:tabs>
        <w:spacing w:after="0" w:line="240" w:lineRule="auto"/>
        <w:rPr>
          <w:rFonts w:ascii="Arial" w:hAnsi="Arial" w:cs="Arial"/>
          <w:snapToGrid w:val="0"/>
        </w:rPr>
      </w:pPr>
      <w:r w:rsidRPr="004F497D">
        <w:rPr>
          <w:rFonts w:ascii="Arial" w:hAnsi="Arial" w:cs="Arial"/>
          <w:snapToGrid w:val="0"/>
        </w:rPr>
        <w:t>PTO may be carried over from one year to the next.</w:t>
      </w:r>
      <w:r>
        <w:rPr>
          <w:rFonts w:ascii="Arial" w:hAnsi="Arial" w:cs="Arial"/>
          <w:snapToGrid w:val="0"/>
        </w:rPr>
        <w:br/>
      </w:r>
    </w:p>
    <w:p w14:paraId="597ACD80" w14:textId="77777777" w:rsidR="00AA31A6" w:rsidRPr="004F497D" w:rsidRDefault="00AA31A6" w:rsidP="00AA31A6">
      <w:pPr>
        <w:pStyle w:val="ListParagraph"/>
        <w:widowControl w:val="0"/>
        <w:numPr>
          <w:ilvl w:val="0"/>
          <w:numId w:val="1"/>
        </w:numPr>
        <w:tabs>
          <w:tab w:val="left" w:pos="-1440"/>
        </w:tabs>
        <w:spacing w:after="0" w:line="240" w:lineRule="auto"/>
        <w:rPr>
          <w:rFonts w:ascii="Arial" w:hAnsi="Arial" w:cs="Arial"/>
          <w:snapToGrid w:val="0"/>
        </w:rPr>
      </w:pPr>
      <w:r w:rsidRPr="004F497D">
        <w:rPr>
          <w:rFonts w:ascii="Arial" w:hAnsi="Arial" w:cs="Arial"/>
          <w:snapToGrid w:val="0"/>
        </w:rPr>
        <w:t>Any employee with at least one (1) year of service who voluntarily terminates employment and provides SDMI with three (3) weeks’ notice will be paid all available accrued PTO.  Such an employee will not be eligible for PTO during the notice period and previously scheduled PTO will be rescinded during the notice period.</w:t>
      </w:r>
    </w:p>
    <w:p w14:paraId="572A7D5E" w14:textId="77777777" w:rsidR="00AA31A6" w:rsidRPr="004F497D" w:rsidRDefault="00AA31A6" w:rsidP="00AA31A6">
      <w:pPr>
        <w:widowControl w:val="0"/>
        <w:tabs>
          <w:tab w:val="left" w:pos="-1440"/>
        </w:tabs>
        <w:ind w:left="360"/>
        <w:rPr>
          <w:rFonts w:cs="Arial"/>
          <w:snapToGrid w:val="0"/>
        </w:rPr>
      </w:pPr>
    </w:p>
    <w:p w14:paraId="73A5A306" w14:textId="2B055635" w:rsidR="00B27C2F" w:rsidRPr="00AA31A6" w:rsidRDefault="00AA31A6" w:rsidP="00AA31A6">
      <w:pPr>
        <w:pStyle w:val="ListParagraph"/>
        <w:widowControl w:val="0"/>
        <w:numPr>
          <w:ilvl w:val="0"/>
          <w:numId w:val="1"/>
        </w:numPr>
        <w:tabs>
          <w:tab w:val="left" w:pos="-1440"/>
        </w:tabs>
        <w:spacing w:after="0" w:line="240" w:lineRule="auto"/>
        <w:rPr>
          <w:rFonts w:ascii="Arial" w:hAnsi="Arial" w:cs="Arial"/>
          <w:snapToGrid w:val="0"/>
        </w:rPr>
      </w:pPr>
      <w:r w:rsidRPr="004F497D">
        <w:rPr>
          <w:rFonts w:ascii="Arial" w:hAnsi="Arial" w:cs="Arial"/>
          <w:snapToGrid w:val="0"/>
        </w:rPr>
        <w:t>Any employee involuntarily terminated will forfeit all remaining accrued PTO.</w:t>
      </w:r>
    </w:p>
    <w:sectPr w:rsidR="00B27C2F" w:rsidRPr="00AA31A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DE33" w14:textId="77777777" w:rsidR="00AA31A6" w:rsidRDefault="00AA31A6" w:rsidP="00AA31A6">
      <w:pPr>
        <w:spacing w:after="0" w:line="240" w:lineRule="auto"/>
      </w:pPr>
      <w:r>
        <w:separator/>
      </w:r>
    </w:p>
  </w:endnote>
  <w:endnote w:type="continuationSeparator" w:id="0">
    <w:p w14:paraId="0347F830" w14:textId="77777777" w:rsidR="00AA31A6" w:rsidRDefault="00AA31A6" w:rsidP="00AA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Regular">
    <w:altName w:val="Courier New"/>
    <w:panose1 w:val="00000000000000000000"/>
    <w:charset w:val="00"/>
    <w:family w:val="modern"/>
    <w:notTrueType/>
    <w:pitch w:val="variable"/>
    <w:sig w:usb0="A000022F" w:usb1="1000005B" w:usb2="00000000" w:usb3="00000000" w:csb0="000000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B4B6" w14:textId="77777777" w:rsidR="00AA31A6" w:rsidRDefault="00AA31A6" w:rsidP="00AA31A6">
      <w:pPr>
        <w:spacing w:after="0" w:line="240" w:lineRule="auto"/>
      </w:pPr>
      <w:r>
        <w:separator/>
      </w:r>
    </w:p>
  </w:footnote>
  <w:footnote w:type="continuationSeparator" w:id="0">
    <w:p w14:paraId="68A0FAA5" w14:textId="77777777" w:rsidR="00AA31A6" w:rsidRDefault="00AA31A6" w:rsidP="00AA3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C799" w14:textId="77777777" w:rsidR="00AA31A6" w:rsidRPr="009B4494" w:rsidRDefault="00AA31A6" w:rsidP="00AA31A6">
    <w:pPr>
      <w:pStyle w:val="Header"/>
      <w:jc w:val="right"/>
      <w:rPr>
        <w:rFonts w:ascii="Arial" w:hAnsi="Arial" w:cs="Arial"/>
        <w:i/>
        <w:iCs/>
        <w:color w:val="808080" w:themeColor="background1" w:themeShade="80"/>
        <w:sz w:val="24"/>
        <w:szCs w:val="24"/>
      </w:rPr>
    </w:pPr>
    <w:r w:rsidRPr="009B4494">
      <w:rPr>
        <w:rFonts w:ascii="Arial" w:hAnsi="Arial" w:cs="Arial"/>
        <w:i/>
        <w:iCs/>
        <w:color w:val="808080" w:themeColor="background1" w:themeShade="80"/>
        <w:sz w:val="24"/>
        <w:szCs w:val="24"/>
      </w:rPr>
      <w:t>**ASHHRA Sample Policy-For Reference Purposes Only**</w:t>
    </w:r>
  </w:p>
  <w:p w14:paraId="3203E486" w14:textId="77777777" w:rsidR="00AA31A6" w:rsidRDefault="00AA3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9D9"/>
    <w:multiLevelType w:val="hybridMultilevel"/>
    <w:tmpl w:val="C04CA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82F51"/>
    <w:multiLevelType w:val="hybridMultilevel"/>
    <w:tmpl w:val="9D00B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495575">
    <w:abstractNumId w:val="1"/>
  </w:num>
  <w:num w:numId="2" w16cid:durableId="358431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A6"/>
    <w:rsid w:val="00767D39"/>
    <w:rsid w:val="00AA31A6"/>
    <w:rsid w:val="00B2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1D682"/>
  <w15:chartTrackingRefBased/>
  <w15:docId w15:val="{5775E1B5-BF73-49C8-8A79-BA852FA5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1A6"/>
  </w:style>
  <w:style w:type="paragraph" w:styleId="Heading5">
    <w:name w:val="heading 5"/>
    <w:basedOn w:val="Normal"/>
    <w:next w:val="Normal"/>
    <w:link w:val="Heading5Char"/>
    <w:qFormat/>
    <w:rsid w:val="00AA31A6"/>
    <w:pPr>
      <w:keepNext/>
      <w:widowControl w:val="0"/>
      <w:spacing w:after="0" w:line="240" w:lineRule="auto"/>
      <w:jc w:val="both"/>
      <w:outlineLvl w:val="4"/>
    </w:pPr>
    <w:rPr>
      <w:rFonts w:ascii="Bebas Neue Regular" w:eastAsia="Times New Roman" w:hAnsi="Bebas Neue Regular" w:cs="Times New Roman"/>
      <w:b/>
      <w:snapToGrid w:val="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A31A6"/>
    <w:rPr>
      <w:rFonts w:ascii="Bebas Neue Regular" w:eastAsia="Times New Roman" w:hAnsi="Bebas Neue Regular" w:cs="Times New Roman"/>
      <w:b/>
      <w:snapToGrid w:val="0"/>
      <w:sz w:val="40"/>
      <w:szCs w:val="20"/>
    </w:rPr>
  </w:style>
  <w:style w:type="paragraph" w:styleId="ListParagraph">
    <w:name w:val="List Paragraph"/>
    <w:basedOn w:val="Normal"/>
    <w:uiPriority w:val="34"/>
    <w:qFormat/>
    <w:rsid w:val="00AA31A6"/>
    <w:pPr>
      <w:ind w:left="720"/>
      <w:contextualSpacing/>
    </w:pPr>
  </w:style>
  <w:style w:type="paragraph" w:styleId="BodyText3">
    <w:name w:val="Body Text 3"/>
    <w:basedOn w:val="Normal"/>
    <w:link w:val="BodyText3Char"/>
    <w:rsid w:val="00AA31A6"/>
    <w:pPr>
      <w:widowControl w:val="0"/>
      <w:tabs>
        <w:tab w:val="left" w:pos="-1440"/>
      </w:tabs>
      <w:spacing w:after="0" w:line="240" w:lineRule="auto"/>
      <w:jc w:val="both"/>
    </w:pPr>
    <w:rPr>
      <w:rFonts w:ascii="Arial" w:eastAsia="Times New Roman" w:hAnsi="Arial" w:cs="Times New Roman"/>
      <w:snapToGrid w:val="0"/>
      <w:sz w:val="24"/>
      <w:szCs w:val="20"/>
    </w:rPr>
  </w:style>
  <w:style w:type="character" w:customStyle="1" w:styleId="BodyText3Char">
    <w:name w:val="Body Text 3 Char"/>
    <w:basedOn w:val="DefaultParagraphFont"/>
    <w:link w:val="BodyText3"/>
    <w:rsid w:val="00AA31A6"/>
    <w:rPr>
      <w:rFonts w:ascii="Arial" w:eastAsia="Times New Roman" w:hAnsi="Arial" w:cs="Times New Roman"/>
      <w:snapToGrid w:val="0"/>
      <w:sz w:val="24"/>
      <w:szCs w:val="20"/>
    </w:rPr>
  </w:style>
  <w:style w:type="paragraph" w:styleId="Header">
    <w:name w:val="header"/>
    <w:basedOn w:val="Normal"/>
    <w:link w:val="HeaderChar"/>
    <w:uiPriority w:val="99"/>
    <w:unhideWhenUsed/>
    <w:rsid w:val="00AA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A6"/>
  </w:style>
  <w:style w:type="paragraph" w:styleId="Footer">
    <w:name w:val="footer"/>
    <w:basedOn w:val="Normal"/>
    <w:link w:val="FooterChar"/>
    <w:uiPriority w:val="99"/>
    <w:unhideWhenUsed/>
    <w:rsid w:val="00AA3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6" ma:contentTypeDescription="Create a new document." ma:contentTypeScope="" ma:versionID="4510c7d139faaa142561d072f863e011">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c21f90498a492385c88faf4d9b0bd4a8"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74a8ef0e-e970-44d0-921e-85c715522f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EB8732-43A7-4510-9D72-0CCAB0DFF085}"/>
</file>

<file path=customXml/itemProps2.xml><?xml version="1.0" encoding="utf-8"?>
<ds:datastoreItem xmlns:ds="http://schemas.openxmlformats.org/officeDocument/2006/customXml" ds:itemID="{B073AFDB-5224-4B4B-A471-F6FF81BD9D20}"/>
</file>

<file path=customXml/itemProps3.xml><?xml version="1.0" encoding="utf-8"?>
<ds:datastoreItem xmlns:ds="http://schemas.openxmlformats.org/officeDocument/2006/customXml" ds:itemID="{A1AC88FA-75B9-4415-AC6F-294C9F015FF0}"/>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 Libunao</dc:creator>
  <cp:keywords/>
  <dc:description/>
  <cp:lastModifiedBy>Ferd Libunao</cp:lastModifiedBy>
  <cp:revision>2</cp:revision>
  <dcterms:created xsi:type="dcterms:W3CDTF">2022-08-10T21:54:00Z</dcterms:created>
  <dcterms:modified xsi:type="dcterms:W3CDTF">2022-08-10T21:57:00Z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0x010100BB8A580A40EC534CB00D45D8BD3CACA0</vt:lpwstr>
  </property>
</Properties>
</file>