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268"/>
      </w:tblGrid>
      <w:tr w:rsidR="00102625" w:rsidRPr="00010A6E" w14:paraId="187BE0C3" w14:textId="77777777" w:rsidTr="00AE6C0C">
        <w:trPr>
          <w:jc w:val="center"/>
        </w:trPr>
        <w:tc>
          <w:tcPr>
            <w:tcW w:w="8856" w:type="dxa"/>
            <w:gridSpan w:val="2"/>
            <w:tcBorders>
              <w:top w:val="single" w:sz="4" w:space="0" w:color="auto"/>
              <w:left w:val="single" w:sz="4" w:space="0" w:color="auto"/>
              <w:bottom w:val="single" w:sz="4" w:space="0" w:color="auto"/>
              <w:right w:val="single" w:sz="4" w:space="0" w:color="auto"/>
            </w:tcBorders>
          </w:tcPr>
          <w:p w14:paraId="04CBC61C" w14:textId="77777777" w:rsidR="00102625" w:rsidRPr="006B72C5" w:rsidRDefault="0042709B" w:rsidP="00D31D3D">
            <w:pPr>
              <w:spacing w:before="60" w:after="60"/>
              <w:rPr>
                <w:sz w:val="20"/>
                <w:szCs w:val="20"/>
              </w:rPr>
            </w:pPr>
            <w:r w:rsidRPr="00010A6E">
              <w:rPr>
                <w:b/>
                <w:sz w:val="20"/>
                <w:szCs w:val="20"/>
              </w:rPr>
              <w:t>Policy</w:t>
            </w:r>
            <w:r w:rsidR="00102625" w:rsidRPr="00010A6E">
              <w:rPr>
                <w:b/>
                <w:sz w:val="20"/>
                <w:szCs w:val="20"/>
              </w:rPr>
              <w:t xml:space="preserve"> </w:t>
            </w:r>
            <w:r w:rsidRPr="00010A6E">
              <w:rPr>
                <w:b/>
                <w:sz w:val="20"/>
                <w:szCs w:val="20"/>
              </w:rPr>
              <w:t>T</w:t>
            </w:r>
            <w:r w:rsidR="00102625" w:rsidRPr="00010A6E">
              <w:rPr>
                <w:b/>
                <w:sz w:val="20"/>
                <w:szCs w:val="20"/>
              </w:rPr>
              <w:t>itle:</w:t>
            </w:r>
            <w:r w:rsidR="00372C04" w:rsidRPr="00010A6E">
              <w:rPr>
                <w:b/>
                <w:sz w:val="20"/>
                <w:szCs w:val="20"/>
              </w:rPr>
              <w:t xml:space="preserve">  </w:t>
            </w:r>
            <w:r w:rsidR="00DC658E" w:rsidRPr="00DC658E">
              <w:rPr>
                <w:sz w:val="20"/>
                <w:szCs w:val="20"/>
              </w:rPr>
              <w:t>Worker's Compensation</w:t>
            </w:r>
          </w:p>
        </w:tc>
      </w:tr>
      <w:tr w:rsidR="00102625" w:rsidRPr="00010A6E" w14:paraId="034BAB14" w14:textId="77777777" w:rsidTr="00AE6C0C">
        <w:trPr>
          <w:jc w:val="center"/>
        </w:trPr>
        <w:tc>
          <w:tcPr>
            <w:tcW w:w="8856" w:type="dxa"/>
            <w:gridSpan w:val="2"/>
            <w:tcBorders>
              <w:top w:val="single" w:sz="4" w:space="0" w:color="auto"/>
              <w:left w:val="single" w:sz="4" w:space="0" w:color="auto"/>
              <w:bottom w:val="single" w:sz="4" w:space="0" w:color="auto"/>
              <w:right w:val="single" w:sz="4" w:space="0" w:color="auto"/>
            </w:tcBorders>
          </w:tcPr>
          <w:p w14:paraId="636A6258" w14:textId="6164EE2F" w:rsidR="00102625" w:rsidRPr="006B72C5" w:rsidRDefault="00102625" w:rsidP="009C3FA5">
            <w:pPr>
              <w:tabs>
                <w:tab w:val="left" w:pos="3465"/>
              </w:tabs>
              <w:spacing w:before="60" w:after="60"/>
              <w:rPr>
                <w:i/>
                <w:sz w:val="20"/>
                <w:szCs w:val="20"/>
              </w:rPr>
            </w:pPr>
            <w:r w:rsidRPr="00010A6E">
              <w:rPr>
                <w:b/>
                <w:sz w:val="20"/>
                <w:szCs w:val="20"/>
              </w:rPr>
              <w:t xml:space="preserve">Policy </w:t>
            </w:r>
            <w:r w:rsidR="0042709B" w:rsidRPr="00010A6E">
              <w:rPr>
                <w:b/>
                <w:sz w:val="20"/>
                <w:szCs w:val="20"/>
              </w:rPr>
              <w:t>A</w:t>
            </w:r>
            <w:r w:rsidRPr="00010A6E">
              <w:rPr>
                <w:b/>
                <w:sz w:val="20"/>
                <w:szCs w:val="20"/>
              </w:rPr>
              <w:t>uthor</w:t>
            </w:r>
            <w:r w:rsidR="0042709B" w:rsidRPr="00010A6E">
              <w:rPr>
                <w:b/>
                <w:sz w:val="20"/>
                <w:szCs w:val="20"/>
              </w:rPr>
              <w:t>:</w:t>
            </w:r>
            <w:r w:rsidR="00172F3F" w:rsidRPr="00010A6E">
              <w:rPr>
                <w:b/>
                <w:sz w:val="20"/>
                <w:szCs w:val="20"/>
              </w:rPr>
              <w:t xml:space="preserve">  </w:t>
            </w:r>
            <w:r w:rsidR="006B72C5">
              <w:rPr>
                <w:sz w:val="20"/>
                <w:szCs w:val="20"/>
              </w:rPr>
              <w:t>Director of Human Resources</w:t>
            </w:r>
          </w:p>
        </w:tc>
      </w:tr>
      <w:tr w:rsidR="00102625" w:rsidRPr="00010A6E" w14:paraId="7628A14D" w14:textId="77777777" w:rsidTr="00AE6C0C">
        <w:trPr>
          <w:jc w:val="center"/>
        </w:trPr>
        <w:tc>
          <w:tcPr>
            <w:tcW w:w="6588" w:type="dxa"/>
            <w:tcBorders>
              <w:top w:val="single" w:sz="4" w:space="0" w:color="auto"/>
              <w:left w:val="single" w:sz="4" w:space="0" w:color="auto"/>
              <w:bottom w:val="single" w:sz="4" w:space="0" w:color="auto"/>
              <w:right w:val="single" w:sz="4" w:space="0" w:color="auto"/>
            </w:tcBorders>
          </w:tcPr>
          <w:p w14:paraId="08EEE155" w14:textId="77777777" w:rsidR="00102625" w:rsidRPr="006B72C5" w:rsidRDefault="006B72C5" w:rsidP="00D31D3D">
            <w:pPr>
              <w:spacing w:before="60" w:after="60"/>
              <w:rPr>
                <w:b/>
                <w:i/>
                <w:sz w:val="20"/>
                <w:szCs w:val="20"/>
              </w:rPr>
            </w:pPr>
            <w:r w:rsidRPr="006B72C5">
              <w:rPr>
                <w:b/>
                <w:i/>
                <w:sz w:val="20"/>
                <w:szCs w:val="20"/>
              </w:rPr>
              <w:t xml:space="preserve">Replaces </w:t>
            </w:r>
            <w:r w:rsidR="00DC658E">
              <w:rPr>
                <w:b/>
                <w:i/>
                <w:sz w:val="20"/>
                <w:szCs w:val="20"/>
              </w:rPr>
              <w:t>HR</w:t>
            </w:r>
            <w:r w:rsidR="00EB7730">
              <w:rPr>
                <w:b/>
                <w:i/>
                <w:sz w:val="20"/>
                <w:szCs w:val="20"/>
              </w:rPr>
              <w:t xml:space="preserve">.06 </w:t>
            </w:r>
            <w:r w:rsidR="00151780">
              <w:rPr>
                <w:b/>
                <w:i/>
                <w:sz w:val="20"/>
                <w:szCs w:val="20"/>
              </w:rPr>
              <w:t>6/1/15</w:t>
            </w:r>
            <w:r w:rsidR="00201F7A">
              <w:rPr>
                <w:b/>
                <w:i/>
                <w:sz w:val="20"/>
                <w:szCs w:val="20"/>
              </w:rPr>
              <w:t xml:space="preserve"> version</w:t>
            </w:r>
          </w:p>
        </w:tc>
        <w:tc>
          <w:tcPr>
            <w:tcW w:w="2268" w:type="dxa"/>
            <w:tcBorders>
              <w:top w:val="single" w:sz="4" w:space="0" w:color="auto"/>
              <w:left w:val="single" w:sz="4" w:space="0" w:color="auto"/>
              <w:bottom w:val="single" w:sz="4" w:space="0" w:color="auto"/>
              <w:right w:val="single" w:sz="4" w:space="0" w:color="auto"/>
            </w:tcBorders>
          </w:tcPr>
          <w:p w14:paraId="4F471CCC" w14:textId="77777777" w:rsidR="00102625" w:rsidRPr="00010A6E" w:rsidRDefault="00102625" w:rsidP="009C3FA5">
            <w:pPr>
              <w:spacing w:before="60" w:after="60"/>
              <w:rPr>
                <w:sz w:val="20"/>
                <w:szCs w:val="20"/>
              </w:rPr>
            </w:pPr>
          </w:p>
        </w:tc>
      </w:tr>
      <w:tr w:rsidR="00102625" w:rsidRPr="00010A6E" w14:paraId="1F7922D5" w14:textId="77777777" w:rsidTr="00AE6C0C">
        <w:trPr>
          <w:jc w:val="center"/>
        </w:trPr>
        <w:tc>
          <w:tcPr>
            <w:tcW w:w="6588" w:type="dxa"/>
            <w:tcBorders>
              <w:top w:val="single" w:sz="4" w:space="0" w:color="auto"/>
              <w:left w:val="single" w:sz="4" w:space="0" w:color="auto"/>
              <w:bottom w:val="single" w:sz="4" w:space="0" w:color="auto"/>
              <w:right w:val="single" w:sz="4" w:space="0" w:color="auto"/>
            </w:tcBorders>
          </w:tcPr>
          <w:p w14:paraId="0FC10AC6" w14:textId="77777777" w:rsidR="00102625" w:rsidRPr="009C3FA5" w:rsidRDefault="00716473" w:rsidP="009C3FA5">
            <w:pPr>
              <w:spacing w:before="60" w:after="60"/>
              <w:rPr>
                <w:b/>
                <w:sz w:val="20"/>
                <w:szCs w:val="20"/>
              </w:rPr>
            </w:pPr>
            <w:r>
              <w:rPr>
                <w:b/>
                <w:sz w:val="20"/>
                <w:szCs w:val="20"/>
              </w:rPr>
              <w:t xml:space="preserve">Director </w:t>
            </w:r>
            <w:r w:rsidR="009C3FA5" w:rsidRPr="009C3FA5">
              <w:rPr>
                <w:b/>
                <w:sz w:val="20"/>
                <w:szCs w:val="20"/>
              </w:rPr>
              <w:t>Signature:</w:t>
            </w:r>
          </w:p>
        </w:tc>
        <w:tc>
          <w:tcPr>
            <w:tcW w:w="2268" w:type="dxa"/>
            <w:tcBorders>
              <w:top w:val="single" w:sz="4" w:space="0" w:color="auto"/>
              <w:left w:val="single" w:sz="4" w:space="0" w:color="auto"/>
              <w:bottom w:val="single" w:sz="4" w:space="0" w:color="auto"/>
              <w:right w:val="single" w:sz="4" w:space="0" w:color="auto"/>
            </w:tcBorders>
          </w:tcPr>
          <w:p w14:paraId="7BC714E2" w14:textId="77777777" w:rsidR="00102625" w:rsidRPr="009C3FA5" w:rsidRDefault="009C3FA5" w:rsidP="009C3FA5">
            <w:pPr>
              <w:spacing w:before="60" w:after="60"/>
              <w:rPr>
                <w:b/>
                <w:sz w:val="20"/>
                <w:szCs w:val="20"/>
              </w:rPr>
            </w:pPr>
            <w:r w:rsidRPr="009C3FA5">
              <w:rPr>
                <w:b/>
                <w:sz w:val="20"/>
                <w:szCs w:val="20"/>
              </w:rPr>
              <w:t>Date:</w:t>
            </w:r>
          </w:p>
        </w:tc>
      </w:tr>
      <w:tr w:rsidR="00201F7A" w:rsidRPr="00010A6E" w14:paraId="7844DC52" w14:textId="77777777" w:rsidTr="00AE6C0C">
        <w:trPr>
          <w:jc w:val="center"/>
        </w:trPr>
        <w:tc>
          <w:tcPr>
            <w:tcW w:w="6588" w:type="dxa"/>
            <w:tcBorders>
              <w:top w:val="single" w:sz="4" w:space="0" w:color="auto"/>
              <w:left w:val="single" w:sz="4" w:space="0" w:color="auto"/>
              <w:bottom w:val="single" w:sz="4" w:space="0" w:color="auto"/>
              <w:right w:val="single" w:sz="4" w:space="0" w:color="auto"/>
            </w:tcBorders>
          </w:tcPr>
          <w:p w14:paraId="0539FB42" w14:textId="77777777" w:rsidR="00201F7A" w:rsidRDefault="00201F7A" w:rsidP="009C3FA5">
            <w:pPr>
              <w:spacing w:before="60" w:after="60"/>
              <w:rPr>
                <w:b/>
                <w:sz w:val="20"/>
                <w:szCs w:val="20"/>
              </w:rPr>
            </w:pPr>
            <w:r>
              <w:rPr>
                <w:b/>
                <w:sz w:val="20"/>
                <w:szCs w:val="20"/>
              </w:rPr>
              <w:t>CEO Signature:</w:t>
            </w:r>
          </w:p>
        </w:tc>
        <w:tc>
          <w:tcPr>
            <w:tcW w:w="2268" w:type="dxa"/>
            <w:tcBorders>
              <w:top w:val="single" w:sz="4" w:space="0" w:color="auto"/>
              <w:left w:val="single" w:sz="4" w:space="0" w:color="auto"/>
              <w:bottom w:val="single" w:sz="4" w:space="0" w:color="auto"/>
              <w:right w:val="single" w:sz="4" w:space="0" w:color="auto"/>
            </w:tcBorders>
          </w:tcPr>
          <w:p w14:paraId="1C68B718" w14:textId="77777777" w:rsidR="00201F7A" w:rsidRPr="00010A6E" w:rsidRDefault="00201F7A" w:rsidP="009C3FA5">
            <w:pPr>
              <w:spacing w:before="60" w:after="60"/>
              <w:rPr>
                <w:b/>
                <w:sz w:val="20"/>
                <w:szCs w:val="20"/>
              </w:rPr>
            </w:pPr>
            <w:r>
              <w:rPr>
                <w:b/>
                <w:sz w:val="20"/>
                <w:szCs w:val="20"/>
              </w:rPr>
              <w:t>Date:</w:t>
            </w:r>
          </w:p>
        </w:tc>
      </w:tr>
    </w:tbl>
    <w:p w14:paraId="04C5365F" w14:textId="77777777" w:rsidR="00136078" w:rsidRDefault="00136078" w:rsidP="00136078">
      <w:pPr>
        <w:ind w:left="-90"/>
        <w:rPr>
          <w:b/>
          <w:sz w:val="28"/>
          <w:szCs w:val="28"/>
        </w:rPr>
      </w:pPr>
    </w:p>
    <w:p w14:paraId="1CC3824D" w14:textId="77777777" w:rsidR="00DC658E" w:rsidRDefault="00136078" w:rsidP="00DC658E">
      <w:pPr>
        <w:ind w:left="-90"/>
        <w:rPr>
          <w:b/>
          <w:sz w:val="28"/>
          <w:szCs w:val="28"/>
          <w:u w:val="single"/>
        </w:rPr>
      </w:pPr>
      <w:r w:rsidRPr="009C3FA5">
        <w:rPr>
          <w:b/>
          <w:sz w:val="28"/>
          <w:szCs w:val="28"/>
          <w:u w:val="single"/>
        </w:rPr>
        <w:t>I.</w:t>
      </w:r>
      <w:r w:rsidRPr="009C3FA5">
        <w:rPr>
          <w:u w:val="single"/>
        </w:rPr>
        <w:t xml:space="preserve">  </w:t>
      </w:r>
      <w:r w:rsidR="00CA4118" w:rsidRPr="009C3FA5">
        <w:rPr>
          <w:b/>
          <w:sz w:val="28"/>
          <w:szCs w:val="28"/>
          <w:u w:val="single"/>
        </w:rPr>
        <w:t>Policy</w:t>
      </w:r>
      <w:r w:rsidR="006B72C5" w:rsidRPr="009C3FA5">
        <w:rPr>
          <w:b/>
          <w:sz w:val="28"/>
          <w:szCs w:val="28"/>
          <w:u w:val="single"/>
        </w:rPr>
        <w:t xml:space="preserve">: </w:t>
      </w:r>
    </w:p>
    <w:p w14:paraId="136A88C3" w14:textId="75BD5794" w:rsidR="00DC658E" w:rsidRPr="006F79DF" w:rsidRDefault="00DC658E" w:rsidP="006F79DF">
      <w:pPr>
        <w:ind w:left="-90"/>
        <w:jc w:val="both"/>
      </w:pPr>
      <w:r>
        <w:t xml:space="preserve">This policy is intended to establish guidelines for employees following a work-related injury or exposure to include intervention, investigation, and prevention of re-occurrence.  </w:t>
      </w:r>
      <w:r w:rsidR="002F7A56">
        <w:t xml:space="preserve">It is the goal of </w:t>
      </w:r>
      <w:r w:rsidR="00B8712A">
        <w:t>XXXXX</w:t>
      </w:r>
      <w:r w:rsidR="002F7A56">
        <w:t xml:space="preserve"> Health</w:t>
      </w:r>
      <w:r>
        <w:t xml:space="preserve"> to provide a safe and injury-free environment for our employees. To that end, any injury or exposure must be investigated completely to make every effort to prevent re-occurrence. All staff are encour</w:t>
      </w:r>
      <w:r w:rsidR="006F79DF">
        <w:t>aged to report any potential un</w:t>
      </w:r>
      <w:r>
        <w:t>safe conditions in an effort to promote a safe workplace.</w:t>
      </w:r>
    </w:p>
    <w:p w14:paraId="790D4A92" w14:textId="77777777" w:rsidR="00136078" w:rsidRPr="001D705C" w:rsidRDefault="00136078" w:rsidP="00093C13">
      <w:pPr>
        <w:ind w:left="-90"/>
        <w:jc w:val="both"/>
        <w:rPr>
          <w:b/>
          <w:sz w:val="18"/>
          <w:szCs w:val="18"/>
        </w:rPr>
      </w:pPr>
    </w:p>
    <w:p w14:paraId="0DF2C9EA" w14:textId="77777777" w:rsidR="00C47171" w:rsidRDefault="00136078" w:rsidP="00093C13">
      <w:pPr>
        <w:ind w:left="-90"/>
        <w:jc w:val="both"/>
        <w:rPr>
          <w:b/>
          <w:sz w:val="28"/>
          <w:szCs w:val="28"/>
          <w:u w:val="single"/>
        </w:rPr>
      </w:pPr>
      <w:r w:rsidRPr="009C3FA5">
        <w:rPr>
          <w:b/>
          <w:sz w:val="28"/>
          <w:szCs w:val="28"/>
          <w:u w:val="single"/>
        </w:rPr>
        <w:t>II.</w:t>
      </w:r>
      <w:r w:rsidRPr="009C3FA5">
        <w:rPr>
          <w:sz w:val="28"/>
          <w:szCs w:val="28"/>
          <w:u w:val="single"/>
        </w:rPr>
        <w:t xml:space="preserve">  </w:t>
      </w:r>
      <w:r w:rsidR="00CA4118" w:rsidRPr="009C3FA5">
        <w:rPr>
          <w:b/>
          <w:sz w:val="28"/>
          <w:szCs w:val="28"/>
          <w:u w:val="single"/>
        </w:rPr>
        <w:t>Procedure:</w:t>
      </w:r>
    </w:p>
    <w:p w14:paraId="3638C7B0" w14:textId="77777777" w:rsidR="00C47171" w:rsidRDefault="00DC658E" w:rsidP="00093C13">
      <w:pPr>
        <w:ind w:left="-90"/>
        <w:jc w:val="both"/>
      </w:pPr>
      <w:r>
        <w:t xml:space="preserve">In the event of an injury or exposure, the following steps must be adhered to:     </w:t>
      </w:r>
    </w:p>
    <w:p w14:paraId="3B516ED3" w14:textId="77777777" w:rsidR="00DC658E" w:rsidRPr="001D705C" w:rsidRDefault="001D705C" w:rsidP="00093C13">
      <w:pPr>
        <w:ind w:left="-90"/>
        <w:jc w:val="both"/>
        <w:rPr>
          <w:sz w:val="16"/>
          <w:szCs w:val="16"/>
          <w:u w:val="single"/>
        </w:rPr>
      </w:pPr>
      <w:r>
        <w:t xml:space="preserve">        </w:t>
      </w:r>
      <w:r w:rsidR="00DC658E">
        <w:t xml:space="preserve"> </w:t>
      </w:r>
    </w:p>
    <w:p w14:paraId="3E155DDC" w14:textId="77777777" w:rsidR="00DC658E" w:rsidRDefault="00DC658E" w:rsidP="00093C13">
      <w:pPr>
        <w:numPr>
          <w:ilvl w:val="0"/>
          <w:numId w:val="21"/>
        </w:numPr>
        <w:jc w:val="both"/>
      </w:pPr>
      <w:r>
        <w:t>Employee reports w</w:t>
      </w:r>
      <w:r w:rsidR="00C47171">
        <w:t>orkplace injury</w:t>
      </w:r>
      <w:r w:rsidR="00EB7730">
        <w:t>,</w:t>
      </w:r>
      <w:r>
        <w:t xml:space="preserve"> repetitive motion complaints or Blood Borne Pathogen exposures to </w:t>
      </w:r>
      <w:r w:rsidR="00C47171">
        <w:t>their supervisor</w:t>
      </w:r>
      <w:r w:rsidR="00EB7730">
        <w:t xml:space="preserve"> and/or Human Resources</w:t>
      </w:r>
      <w:r w:rsidR="00C47171">
        <w:t xml:space="preserve"> as soon as possible</w:t>
      </w:r>
      <w:r w:rsidR="00EB7730">
        <w:t>.</w:t>
      </w:r>
      <w:r>
        <w:t xml:space="preserve"> </w:t>
      </w:r>
    </w:p>
    <w:p w14:paraId="54BE8628" w14:textId="77777777" w:rsidR="002F7A56" w:rsidRDefault="002F7A56" w:rsidP="002F7A56">
      <w:pPr>
        <w:ind w:left="720"/>
        <w:jc w:val="both"/>
      </w:pPr>
    </w:p>
    <w:p w14:paraId="2C2D8014" w14:textId="77777777" w:rsidR="006F79DF" w:rsidRPr="005337C9" w:rsidRDefault="002F7A56" w:rsidP="005337C9">
      <w:pPr>
        <w:numPr>
          <w:ilvl w:val="0"/>
          <w:numId w:val="21"/>
        </w:numPr>
        <w:jc w:val="both"/>
      </w:pPr>
      <w:r w:rsidRPr="005337C9">
        <w:t>Employee completes the First Report of</w:t>
      </w:r>
      <w:r w:rsidR="00E942C7">
        <w:t xml:space="preserve"> Injury in its</w:t>
      </w:r>
      <w:r w:rsidR="006F79DF" w:rsidRPr="005337C9">
        <w:t xml:space="preserve"> entirety and submits </w:t>
      </w:r>
      <w:r w:rsidRPr="005337C9">
        <w:t>immediately to Human Resources.</w:t>
      </w:r>
      <w:r w:rsidR="005337C9">
        <w:t xml:space="preserve"> </w:t>
      </w:r>
      <w:r w:rsidR="00EB7730" w:rsidRPr="00EB7730">
        <w:t xml:space="preserve">If the employee experiences a Blood Borne Pathogen </w:t>
      </w:r>
      <w:r w:rsidR="00EB7730">
        <w:t xml:space="preserve">or Bodily Fluid </w:t>
      </w:r>
      <w:r w:rsidR="00EB7730" w:rsidRPr="00EB7730">
        <w:t xml:space="preserve">exposure, they must </w:t>
      </w:r>
      <w:r w:rsidR="00EB7730" w:rsidRPr="00E942C7">
        <w:rPr>
          <w:b/>
          <w:u w:val="single"/>
        </w:rPr>
        <w:t>also</w:t>
      </w:r>
      <w:r w:rsidR="00EB7730" w:rsidRPr="00EB7730">
        <w:t xml:space="preserve"> complete the </w:t>
      </w:r>
      <w:r w:rsidR="00EB7730" w:rsidRPr="005337C9">
        <w:t>Health Care Worker (HCW) Blood/Bod</w:t>
      </w:r>
      <w:r w:rsidR="00EB7730">
        <w:t>il</w:t>
      </w:r>
      <w:r w:rsidR="00EB7730" w:rsidRPr="005337C9">
        <w:t>y Fluid Exposure Checklist</w:t>
      </w:r>
      <w:r w:rsidR="00EB7730" w:rsidRPr="00EB7730">
        <w:t xml:space="preserve">.  </w:t>
      </w:r>
    </w:p>
    <w:p w14:paraId="6897470B" w14:textId="77777777" w:rsidR="006F79DF" w:rsidRDefault="006F79DF" w:rsidP="006F79DF">
      <w:pPr>
        <w:pStyle w:val="ListParagraph"/>
      </w:pPr>
    </w:p>
    <w:p w14:paraId="0E8D71A7" w14:textId="77777777" w:rsidR="00EB7730" w:rsidRDefault="002F7A56" w:rsidP="005337C9">
      <w:pPr>
        <w:numPr>
          <w:ilvl w:val="0"/>
          <w:numId w:val="28"/>
        </w:numPr>
        <w:jc w:val="both"/>
      </w:pPr>
      <w:r w:rsidRPr="006F79DF">
        <w:rPr>
          <w:b/>
        </w:rPr>
        <w:t>The First Report of Injury Form</w:t>
      </w:r>
      <w:r>
        <w:t xml:space="preserve"> is used to file the worker's injury with the organization's </w:t>
      </w:r>
      <w:r w:rsidR="006F79DF">
        <w:t xml:space="preserve">worker's compensation carrier. </w:t>
      </w:r>
    </w:p>
    <w:p w14:paraId="634DC26C" w14:textId="77777777" w:rsidR="00E942C7" w:rsidRDefault="00E942C7" w:rsidP="00E942C7">
      <w:pPr>
        <w:ind w:left="1440"/>
        <w:jc w:val="both"/>
      </w:pPr>
    </w:p>
    <w:p w14:paraId="39289043" w14:textId="77777777" w:rsidR="002F7A56" w:rsidRDefault="00EB7730" w:rsidP="005337C9">
      <w:pPr>
        <w:numPr>
          <w:ilvl w:val="0"/>
          <w:numId w:val="28"/>
        </w:numPr>
        <w:jc w:val="both"/>
      </w:pPr>
      <w:r>
        <w:t xml:space="preserve">The </w:t>
      </w:r>
      <w:r>
        <w:rPr>
          <w:b/>
        </w:rPr>
        <w:t>Blood/Bodily Fluid Exposure Checklist</w:t>
      </w:r>
      <w:r w:rsidRPr="00EB7730">
        <w:t xml:space="preserve"> form is forwarded to the Infection Prevention Practitioner.  The Infection Prevention Practit</w:t>
      </w:r>
      <w:r>
        <w:t xml:space="preserve">ioner then works closely with </w:t>
      </w:r>
      <w:r w:rsidR="002C726F">
        <w:t xml:space="preserve">the </w:t>
      </w:r>
      <w:r>
        <w:t>R</w:t>
      </w:r>
      <w:r w:rsidR="002C726F">
        <w:t xml:space="preserve">egional </w:t>
      </w:r>
      <w:r>
        <w:t>O</w:t>
      </w:r>
      <w:r w:rsidR="002C726F">
        <w:t xml:space="preserve">ccupational </w:t>
      </w:r>
      <w:r>
        <w:t>M</w:t>
      </w:r>
      <w:r w:rsidR="002C726F">
        <w:t>edicine Clinic (ROMP)</w:t>
      </w:r>
      <w:r w:rsidRPr="00EB7730">
        <w:t xml:space="preserve"> to ensure the necessary steps to address this exposure are completed.  </w:t>
      </w:r>
      <w:r w:rsidRPr="00577F29">
        <w:rPr>
          <w:u w:val="single"/>
        </w:rPr>
        <w:t xml:space="preserve">It is important to note that the HCW Checklist does </w:t>
      </w:r>
      <w:r w:rsidRPr="005337C9">
        <w:rPr>
          <w:i/>
          <w:u w:val="single"/>
        </w:rPr>
        <w:t>not</w:t>
      </w:r>
      <w:r w:rsidRPr="00577F29">
        <w:rPr>
          <w:u w:val="single"/>
        </w:rPr>
        <w:t xml:space="preserve"> replace the First Report of Injury</w:t>
      </w:r>
      <w:r>
        <w:rPr>
          <w:u w:val="single"/>
        </w:rPr>
        <w:t>.</w:t>
      </w:r>
    </w:p>
    <w:p w14:paraId="64332AD0" w14:textId="77777777" w:rsidR="002F7A56" w:rsidRDefault="002F7A56" w:rsidP="002F7A56">
      <w:pPr>
        <w:ind w:left="720"/>
        <w:jc w:val="both"/>
        <w:rPr>
          <w:sz w:val="16"/>
          <w:szCs w:val="16"/>
        </w:rPr>
      </w:pPr>
    </w:p>
    <w:p w14:paraId="19FE4A8D" w14:textId="77777777" w:rsidR="005337C9" w:rsidRPr="001D705C" w:rsidRDefault="005337C9" w:rsidP="00E942C7">
      <w:pPr>
        <w:jc w:val="both"/>
        <w:rPr>
          <w:sz w:val="16"/>
          <w:szCs w:val="16"/>
        </w:rPr>
      </w:pPr>
    </w:p>
    <w:p w14:paraId="4B7EC6A8" w14:textId="77777777" w:rsidR="002F7A56" w:rsidRPr="006F79DF" w:rsidRDefault="002F7A56" w:rsidP="002C726F">
      <w:pPr>
        <w:numPr>
          <w:ilvl w:val="0"/>
          <w:numId w:val="21"/>
        </w:numPr>
        <w:jc w:val="both"/>
      </w:pPr>
      <w:r>
        <w:t xml:space="preserve">If </w:t>
      </w:r>
      <w:r w:rsidRPr="002F7A56">
        <w:rPr>
          <w:b/>
          <w:u w:val="single"/>
        </w:rPr>
        <w:t>emergent/urgent care is needed</w:t>
      </w:r>
      <w:r>
        <w:t xml:space="preserve">, employee </w:t>
      </w:r>
      <w:r w:rsidR="00E942C7">
        <w:t xml:space="preserve">should go immediately to the Emergency Room. </w:t>
      </w:r>
      <w:r w:rsidR="001D705C" w:rsidRPr="00E942C7">
        <w:rPr>
          <w:b/>
        </w:rPr>
        <w:t>For purposes of this policy, a needlestick and/or Blood Borne Pathogen exposure is considered an emergency.</w:t>
      </w:r>
      <w:r w:rsidR="001D705C">
        <w:rPr>
          <w:b/>
        </w:rPr>
        <w:t xml:space="preserve">  </w:t>
      </w:r>
      <w:r w:rsidR="00E6113B" w:rsidRPr="00E6113B">
        <w:t>Unless hospitalized,</w:t>
      </w:r>
      <w:r w:rsidR="00E6113B">
        <w:rPr>
          <w:b/>
        </w:rPr>
        <w:t xml:space="preserve"> </w:t>
      </w:r>
      <w:r w:rsidR="00E6113B">
        <w:t>a</w:t>
      </w:r>
      <w:r w:rsidRPr="006F79DF">
        <w:t>fter rec</w:t>
      </w:r>
      <w:r w:rsidR="00E942C7">
        <w:t>eiving the necessary treatment, the employee must</w:t>
      </w:r>
      <w:r w:rsidR="00E6113B">
        <w:t xml:space="preserve"> report back to their supervisor</w:t>
      </w:r>
      <w:r w:rsidR="00F43C70">
        <w:t xml:space="preserve"> and then</w:t>
      </w:r>
      <w:r w:rsidR="006F79DF">
        <w:t xml:space="preserve"> </w:t>
      </w:r>
      <w:r w:rsidRPr="006F79DF">
        <w:t xml:space="preserve">follow-up with Human Resources to ensure all paperwork has been submitted and discuss follow-up treatment </w:t>
      </w:r>
      <w:r w:rsidR="00E942C7">
        <w:t>to be scheduled with ROMP</w:t>
      </w:r>
      <w:r w:rsidRPr="006F79DF">
        <w:t xml:space="preserve">.  </w:t>
      </w:r>
    </w:p>
    <w:p w14:paraId="59980727" w14:textId="77777777" w:rsidR="00720ADC" w:rsidRDefault="00720ADC" w:rsidP="002F7A56">
      <w:pPr>
        <w:jc w:val="both"/>
      </w:pPr>
    </w:p>
    <w:p w14:paraId="38574121" w14:textId="77777777" w:rsidR="009D05F8" w:rsidRDefault="002F7A56" w:rsidP="002C726F">
      <w:pPr>
        <w:numPr>
          <w:ilvl w:val="0"/>
          <w:numId w:val="21"/>
        </w:numPr>
        <w:jc w:val="both"/>
      </w:pPr>
      <w:r>
        <w:lastRenderedPageBreak/>
        <w:t xml:space="preserve">If </w:t>
      </w:r>
      <w:r w:rsidRPr="002F7A56">
        <w:rPr>
          <w:b/>
          <w:u w:val="single"/>
        </w:rPr>
        <w:t>no immediate treatment is needed</w:t>
      </w:r>
      <w:r>
        <w:t xml:space="preserve">, </w:t>
      </w:r>
      <w:r w:rsidR="002C726F">
        <w:t xml:space="preserve">HR provides the </w:t>
      </w:r>
      <w:r w:rsidRPr="00990E24">
        <w:t>e</w:t>
      </w:r>
      <w:r w:rsidR="002C726F">
        <w:t>mployee with a</w:t>
      </w:r>
      <w:r>
        <w:t xml:space="preserve"> </w:t>
      </w:r>
      <w:r w:rsidRPr="0025502A">
        <w:rPr>
          <w:b/>
        </w:rPr>
        <w:t>"Designated Provider Notice"</w:t>
      </w:r>
      <w:r>
        <w:t xml:space="preserve"> providing the list of medical providers</w:t>
      </w:r>
      <w:r w:rsidR="002C726F">
        <w:t xml:space="preserve"> at ROMP </w:t>
      </w:r>
      <w:r>
        <w:t xml:space="preserve">to treat the injured </w:t>
      </w:r>
      <w:r w:rsidR="008713F5">
        <w:t>employee.</w:t>
      </w:r>
      <w:r w:rsidR="002C726F">
        <w:t xml:space="preserve">  With this communication, the e</w:t>
      </w:r>
      <w:r w:rsidR="00A862B0">
        <w:t>mployee is directed to contact</w:t>
      </w:r>
      <w:r w:rsidR="002C726F">
        <w:t xml:space="preserve"> ROMP to schedule an appointment and to follow up with HR with any concerns or questions.  </w:t>
      </w:r>
      <w:r w:rsidR="008713F5">
        <w:t xml:space="preserve">  </w:t>
      </w:r>
    </w:p>
    <w:p w14:paraId="066A604A" w14:textId="77777777" w:rsidR="00E6113B" w:rsidRDefault="00E6113B" w:rsidP="00E6113B">
      <w:pPr>
        <w:pStyle w:val="ListParagraph"/>
      </w:pPr>
    </w:p>
    <w:p w14:paraId="39FCAD6E" w14:textId="77777777" w:rsidR="00E6113B" w:rsidRDefault="00F43C70" w:rsidP="00E6113B">
      <w:pPr>
        <w:numPr>
          <w:ilvl w:val="0"/>
          <w:numId w:val="21"/>
        </w:numPr>
        <w:tabs>
          <w:tab w:val="left" w:pos="11232"/>
        </w:tabs>
        <w:jc w:val="both"/>
      </w:pPr>
      <w:r>
        <w:t>Following their initial treatment at ROMP, the e</w:t>
      </w:r>
      <w:r w:rsidR="00E6113B">
        <w:t>mployee</w:t>
      </w:r>
      <w:r>
        <w:t xml:space="preserve"> </w:t>
      </w:r>
      <w:r w:rsidR="00E6113B">
        <w:t xml:space="preserve">must immediately report back to their supervisor and advise of their ability to return to work.  Human Resources receives a copy of the employee’s treatment report from ROMP and will reach out to supervisors if/when there are any concerns or work restrictions noted.  </w:t>
      </w:r>
    </w:p>
    <w:p w14:paraId="2D9637CB" w14:textId="77777777" w:rsidR="002C726F" w:rsidRDefault="002C726F" w:rsidP="00E6113B">
      <w:pPr>
        <w:jc w:val="both"/>
      </w:pPr>
    </w:p>
    <w:p w14:paraId="76E7309F" w14:textId="77777777" w:rsidR="00EB7730" w:rsidRDefault="00EB7730" w:rsidP="00EB7730">
      <w:pPr>
        <w:numPr>
          <w:ilvl w:val="0"/>
          <w:numId w:val="21"/>
        </w:numPr>
        <w:jc w:val="both"/>
      </w:pPr>
      <w:r>
        <w:t>A drug and alcohol test will be performed by the RMC or CCH Laboratory</w:t>
      </w:r>
      <w:r w:rsidR="002C726F">
        <w:t xml:space="preserve"> or ROMP</w:t>
      </w:r>
      <w:r>
        <w:t xml:space="preserve"> if the worker’s injury results in:</w:t>
      </w:r>
    </w:p>
    <w:p w14:paraId="1E4147B6" w14:textId="77777777" w:rsidR="002C726F" w:rsidRDefault="00EB7730" w:rsidP="002C726F">
      <w:pPr>
        <w:numPr>
          <w:ilvl w:val="0"/>
          <w:numId w:val="29"/>
        </w:numPr>
        <w:jc w:val="both"/>
      </w:pPr>
      <w:r w:rsidRPr="00144F8E">
        <w:t>a safety violation while operating equipment which might reasonably be suspected to relate to drug or alcohol use</w:t>
      </w:r>
    </w:p>
    <w:p w14:paraId="4968E603" w14:textId="77777777" w:rsidR="002C726F" w:rsidRDefault="00EB7730" w:rsidP="002C726F">
      <w:pPr>
        <w:numPr>
          <w:ilvl w:val="0"/>
          <w:numId w:val="29"/>
        </w:numPr>
        <w:jc w:val="both"/>
      </w:pPr>
      <w:r w:rsidRPr="00144F8E">
        <w:t>an intentional act which causes or is likely to cause harm to a patient, employee or other individual is under investigation</w:t>
      </w:r>
    </w:p>
    <w:p w14:paraId="584CD336" w14:textId="77777777" w:rsidR="002C726F" w:rsidRDefault="00EB7730" w:rsidP="002C726F">
      <w:pPr>
        <w:numPr>
          <w:ilvl w:val="0"/>
          <w:numId w:val="29"/>
        </w:numPr>
        <w:jc w:val="both"/>
      </w:pPr>
      <w:r w:rsidRPr="00144F8E">
        <w:t>the accident results in the employee being put off work</w:t>
      </w:r>
    </w:p>
    <w:p w14:paraId="164F9B75" w14:textId="77777777" w:rsidR="002C726F" w:rsidRDefault="00EB7730" w:rsidP="002C726F">
      <w:pPr>
        <w:numPr>
          <w:ilvl w:val="0"/>
          <w:numId w:val="29"/>
        </w:numPr>
        <w:jc w:val="both"/>
      </w:pPr>
      <w:r w:rsidRPr="00144F8E">
        <w:t>a person dies;</w:t>
      </w:r>
    </w:p>
    <w:p w14:paraId="070B8D02" w14:textId="77777777" w:rsidR="002C726F" w:rsidRDefault="00EB7730" w:rsidP="002C726F">
      <w:pPr>
        <w:numPr>
          <w:ilvl w:val="0"/>
          <w:numId w:val="29"/>
        </w:numPr>
        <w:jc w:val="both"/>
      </w:pPr>
      <w:r w:rsidRPr="00144F8E">
        <w:t>property damage is estimated at greater than $1000; or</w:t>
      </w:r>
    </w:p>
    <w:p w14:paraId="612D2D5D" w14:textId="77777777" w:rsidR="00EB7730" w:rsidRDefault="00EB7730" w:rsidP="005337C9">
      <w:pPr>
        <w:numPr>
          <w:ilvl w:val="0"/>
          <w:numId w:val="29"/>
        </w:numPr>
        <w:jc w:val="both"/>
      </w:pPr>
      <w:r w:rsidRPr="00144F8E">
        <w:t xml:space="preserve">an accident with a SLV Health vehicle. </w:t>
      </w:r>
    </w:p>
    <w:p w14:paraId="1D322600" w14:textId="77777777" w:rsidR="00A26C0B" w:rsidRDefault="00A26C0B" w:rsidP="002F7A56">
      <w:pPr>
        <w:jc w:val="both"/>
      </w:pPr>
    </w:p>
    <w:p w14:paraId="27E87FFB" w14:textId="77777777" w:rsidR="00A26C0B" w:rsidRDefault="008713F5" w:rsidP="0025502A">
      <w:pPr>
        <w:numPr>
          <w:ilvl w:val="0"/>
          <w:numId w:val="21"/>
        </w:numPr>
        <w:jc w:val="both"/>
      </w:pPr>
      <w:r>
        <w:t>When applicable, t</w:t>
      </w:r>
      <w:r w:rsidR="00B950B0">
        <w:t xml:space="preserve">he drug and alcohol screenings should occur immediately when possible.  Otherwise, the drug screen should occur no later than 24 hours after the employee's injury.  The alcohol screening should occur within 2 hours of injury but no later than 8 hours after the employee's injury.  If either of the tests are not performed within these timeframes, the Director/Manager shall prepare and forward to Human Resources a record stating the reasons the test(s) were not promptly administered.   </w:t>
      </w:r>
    </w:p>
    <w:p w14:paraId="1D827995" w14:textId="77777777" w:rsidR="00E6113B" w:rsidRDefault="00E6113B" w:rsidP="00E6113B">
      <w:pPr>
        <w:ind w:left="720"/>
        <w:jc w:val="both"/>
      </w:pPr>
    </w:p>
    <w:p w14:paraId="317F01DA" w14:textId="77777777" w:rsidR="00E6113B" w:rsidRDefault="00E6113B" w:rsidP="00E6113B">
      <w:pPr>
        <w:numPr>
          <w:ilvl w:val="0"/>
          <w:numId w:val="21"/>
        </w:numPr>
        <w:tabs>
          <w:tab w:val="left" w:pos="11232"/>
        </w:tabs>
        <w:jc w:val="both"/>
      </w:pPr>
      <w:r w:rsidRPr="00990E24">
        <w:t xml:space="preserve">Injured employees who test positive </w:t>
      </w:r>
      <w:r>
        <w:t>for drugs or alcohol following a</w:t>
      </w:r>
      <w:r w:rsidRPr="00990E24">
        <w:t xml:space="preserve"> </w:t>
      </w:r>
      <w:r>
        <w:t>First R</w:t>
      </w:r>
      <w:r w:rsidRPr="00990E24">
        <w:t xml:space="preserve">eport of </w:t>
      </w:r>
      <w:r>
        <w:t>I</w:t>
      </w:r>
      <w:r w:rsidRPr="00990E24">
        <w:t xml:space="preserve">njury will be </w:t>
      </w:r>
      <w:r>
        <w:t>subject to the actions as defined in policy and procedure HR.02 Workforce Drug &amp; Alcohol Testing.  Human Resources</w:t>
      </w:r>
      <w:r w:rsidRPr="00990E24">
        <w:t xml:space="preserve"> will be in close contact with our Workers’ Comp</w:t>
      </w:r>
      <w:r>
        <w:t>ensation</w:t>
      </w:r>
      <w:r w:rsidRPr="00990E24">
        <w:t xml:space="preserve"> insurance carrier whe</w:t>
      </w:r>
      <w:r>
        <w:t>never a safety rule violation has been</w:t>
      </w:r>
      <w:r w:rsidRPr="00990E24">
        <w:t xml:space="preserve"> identified.</w:t>
      </w:r>
    </w:p>
    <w:p w14:paraId="7076CEED" w14:textId="77777777" w:rsidR="00DC658E" w:rsidRDefault="00DC658E" w:rsidP="00093C13">
      <w:pPr>
        <w:ind w:left="1080"/>
        <w:jc w:val="both"/>
      </w:pPr>
    </w:p>
    <w:p w14:paraId="61A030E5" w14:textId="37FA61E0" w:rsidR="00F43C70" w:rsidRDefault="0025502A" w:rsidP="00AE6C0C">
      <w:pPr>
        <w:numPr>
          <w:ilvl w:val="0"/>
          <w:numId w:val="21"/>
        </w:numPr>
        <w:tabs>
          <w:tab w:val="left" w:pos="11232"/>
        </w:tabs>
        <w:jc w:val="both"/>
      </w:pPr>
      <w:r>
        <w:t>HR may assist the employee with follow-</w:t>
      </w:r>
      <w:r w:rsidR="00DC658E">
        <w:t xml:space="preserve">up medical care with </w:t>
      </w:r>
      <w:r w:rsidR="002C726F">
        <w:t xml:space="preserve">ROMP </w:t>
      </w:r>
      <w:r>
        <w:t xml:space="preserve">as needed or requested.  An employee's refusal to seek medical treatment following a reported workplace injury will be documented.  </w:t>
      </w:r>
    </w:p>
    <w:p w14:paraId="46B8DB1B" w14:textId="77777777" w:rsidR="00CD27EF" w:rsidRDefault="00CD27EF" w:rsidP="00CD27EF">
      <w:pPr>
        <w:pStyle w:val="ListParagraph"/>
      </w:pPr>
    </w:p>
    <w:p w14:paraId="3CBA82A9" w14:textId="77777777" w:rsidR="00CD27EF" w:rsidRDefault="00CD27EF" w:rsidP="00CD27EF">
      <w:pPr>
        <w:numPr>
          <w:ilvl w:val="0"/>
          <w:numId w:val="21"/>
        </w:numPr>
        <w:tabs>
          <w:tab w:val="left" w:pos="11232"/>
        </w:tabs>
        <w:jc w:val="both"/>
      </w:pPr>
      <w:r>
        <w:t>The Human Resource Department</w:t>
      </w:r>
      <w:r w:rsidR="00E6113B">
        <w:t xml:space="preserve"> files a report of an employee’s injury with the organization’s insurance carrier as soon as it is received.  </w:t>
      </w:r>
      <w:r>
        <w:t xml:space="preserve"> </w:t>
      </w:r>
      <w:r w:rsidR="00E6113B">
        <w:t>Any reports made to the carrier that exceed</w:t>
      </w:r>
      <w:r>
        <w:t xml:space="preserve"> 2 business days from </w:t>
      </w:r>
      <w:r w:rsidR="00E6113B">
        <w:t xml:space="preserve">the </w:t>
      </w:r>
      <w:r>
        <w:t>dat</w:t>
      </w:r>
      <w:r w:rsidR="00E6113B">
        <w:t xml:space="preserve">e of the employee’s injury are flagged as late reporting.   </w:t>
      </w:r>
    </w:p>
    <w:p w14:paraId="5A335DCB" w14:textId="77777777" w:rsidR="00E6113B" w:rsidRDefault="00E6113B" w:rsidP="00E6113B">
      <w:pPr>
        <w:pStyle w:val="ListParagraph"/>
      </w:pPr>
    </w:p>
    <w:p w14:paraId="7FA20AC3" w14:textId="77777777" w:rsidR="0083197B" w:rsidRPr="0083197B" w:rsidRDefault="00E6113B" w:rsidP="00E6113B">
      <w:pPr>
        <w:numPr>
          <w:ilvl w:val="0"/>
          <w:numId w:val="21"/>
        </w:numPr>
        <w:jc w:val="both"/>
        <w:rPr>
          <w:bCs/>
        </w:rPr>
      </w:pPr>
      <w:r w:rsidRPr="000E79CD">
        <w:rPr>
          <w:rFonts w:cs="Arial"/>
        </w:rPr>
        <w:lastRenderedPageBreak/>
        <w:t>Wa</w:t>
      </w:r>
      <w:r>
        <w:rPr>
          <w:rFonts w:cs="Arial"/>
        </w:rPr>
        <w:t>ge compensation for the first 3</w:t>
      </w:r>
      <w:r w:rsidRPr="000E79CD">
        <w:rPr>
          <w:rFonts w:cs="Arial"/>
        </w:rPr>
        <w:t xml:space="preserve"> d</w:t>
      </w:r>
      <w:r>
        <w:rPr>
          <w:rFonts w:cs="Arial"/>
        </w:rPr>
        <w:t>ays of work missed due to an on-the-job injury may</w:t>
      </w:r>
      <w:r w:rsidRPr="000E79CD">
        <w:rPr>
          <w:rFonts w:cs="Arial"/>
        </w:rPr>
        <w:t xml:space="preserve"> be draw</w:t>
      </w:r>
      <w:r>
        <w:rPr>
          <w:rFonts w:cs="Arial"/>
        </w:rPr>
        <w:t xml:space="preserve">n immediately from an employee’s </w:t>
      </w:r>
      <w:r w:rsidR="00151780">
        <w:rPr>
          <w:rFonts w:cs="Arial"/>
        </w:rPr>
        <w:t>Sick Leave (</w:t>
      </w:r>
      <w:r>
        <w:rPr>
          <w:rFonts w:cs="Arial"/>
        </w:rPr>
        <w:t>SL</w:t>
      </w:r>
      <w:r w:rsidR="00151780">
        <w:rPr>
          <w:rFonts w:cs="Arial"/>
        </w:rPr>
        <w:t>)</w:t>
      </w:r>
      <w:r w:rsidRPr="000E79CD">
        <w:rPr>
          <w:rFonts w:cs="Arial"/>
        </w:rPr>
        <w:t xml:space="preserve"> balance</w:t>
      </w:r>
      <w:r>
        <w:rPr>
          <w:rFonts w:cs="Arial"/>
        </w:rPr>
        <w:t>.  PTO shall be used if the employee does not have enough accrued SL.</w:t>
      </w:r>
      <w:r w:rsidR="0083197B">
        <w:rPr>
          <w:rFonts w:cs="Arial"/>
        </w:rPr>
        <w:t xml:space="preserve">  </w:t>
      </w:r>
    </w:p>
    <w:p w14:paraId="0683C8C3" w14:textId="77777777" w:rsidR="0083197B" w:rsidRDefault="0083197B" w:rsidP="0083197B">
      <w:pPr>
        <w:pStyle w:val="ListParagraph"/>
        <w:rPr>
          <w:rFonts w:cs="Arial"/>
        </w:rPr>
      </w:pPr>
    </w:p>
    <w:p w14:paraId="08B9A64D" w14:textId="77777777" w:rsidR="00E6113B" w:rsidRPr="00E6113B" w:rsidRDefault="0083197B" w:rsidP="00E6113B">
      <w:pPr>
        <w:numPr>
          <w:ilvl w:val="0"/>
          <w:numId w:val="21"/>
        </w:numPr>
        <w:jc w:val="both"/>
        <w:rPr>
          <w:bCs/>
        </w:rPr>
      </w:pPr>
      <w:r>
        <w:rPr>
          <w:rFonts w:cs="Arial"/>
        </w:rPr>
        <w:t xml:space="preserve">If an employee’s post-injury treatment extends past the employee’s normal working hours, or if an employee leaves their shift early because of the injury, that time will be moved from regular hours to SL or PTO hours.  </w:t>
      </w:r>
    </w:p>
    <w:p w14:paraId="552D9A0F" w14:textId="77777777" w:rsidR="00E6113B" w:rsidRDefault="00E6113B" w:rsidP="00E6113B">
      <w:pPr>
        <w:pStyle w:val="ListParagraph"/>
        <w:rPr>
          <w:bCs/>
        </w:rPr>
      </w:pPr>
    </w:p>
    <w:p w14:paraId="517C133B" w14:textId="77777777" w:rsidR="00E6113B" w:rsidRPr="00E6113B" w:rsidRDefault="00E6113B" w:rsidP="00E6113B">
      <w:pPr>
        <w:numPr>
          <w:ilvl w:val="0"/>
          <w:numId w:val="21"/>
        </w:numPr>
        <w:tabs>
          <w:tab w:val="left" w:pos="11232"/>
        </w:tabs>
        <w:jc w:val="both"/>
      </w:pPr>
      <w:r>
        <w:t>The employee may be eligible for compensation by the insurance carrier for any lost time (work hours lost) after first using 3 full days of SL and/or PTO.  If the employee does not have any accrued SL or PTO, the lost time will be reported as of the date the employee lost work time. Human Resources</w:t>
      </w:r>
      <w:r w:rsidRPr="00782855">
        <w:t xml:space="preserve"> </w:t>
      </w:r>
      <w:r>
        <w:t xml:space="preserve">provides the insurance carrier the last 12 months of the employee's wages and corresponds closely with them </w:t>
      </w:r>
      <w:r w:rsidRPr="00782855">
        <w:t xml:space="preserve">to insure proper </w:t>
      </w:r>
      <w:r>
        <w:t xml:space="preserve">lost wage </w:t>
      </w:r>
      <w:r w:rsidRPr="00782855">
        <w:t xml:space="preserve">reimbursement </w:t>
      </w:r>
      <w:r>
        <w:t>is provided to the injured employee</w:t>
      </w:r>
      <w:r w:rsidRPr="00782855">
        <w:t>.</w:t>
      </w:r>
    </w:p>
    <w:p w14:paraId="1FFA99D9" w14:textId="77777777" w:rsidR="00E6113B" w:rsidRPr="00E6113B" w:rsidRDefault="00E6113B" w:rsidP="00E6113B">
      <w:pPr>
        <w:jc w:val="both"/>
        <w:rPr>
          <w:bCs/>
        </w:rPr>
      </w:pPr>
    </w:p>
    <w:p w14:paraId="6BECE462" w14:textId="77777777" w:rsidR="00CD27EF" w:rsidRDefault="002C726F" w:rsidP="008713F5">
      <w:pPr>
        <w:numPr>
          <w:ilvl w:val="0"/>
          <w:numId w:val="21"/>
        </w:numPr>
        <w:tabs>
          <w:tab w:val="left" w:pos="11232"/>
        </w:tabs>
        <w:jc w:val="both"/>
      </w:pPr>
      <w:r>
        <w:t>Committee members from the Employee Safety Committee will be trained to perform investigations of workplace incidents.</w:t>
      </w:r>
      <w:r w:rsidR="006F2617">
        <w:t xml:space="preserve"> </w:t>
      </w:r>
      <w:r w:rsidR="00CD27EF">
        <w:t xml:space="preserve">The Infection Prevention Practitioner will investigate and follow-up on all reports involving a blood borne or bodily fluid exposures.  A good faith attempt to promptly investigate all other incidents will be made by Human Resources and an assigned Safety Committee member, along with assistance by the injured employee’s supervisor.  </w:t>
      </w:r>
    </w:p>
    <w:p w14:paraId="7A027989" w14:textId="77777777" w:rsidR="00CD27EF" w:rsidRDefault="00CD27EF" w:rsidP="00CD27EF">
      <w:pPr>
        <w:pStyle w:val="ListParagraph"/>
      </w:pPr>
    </w:p>
    <w:p w14:paraId="4BFD7960" w14:textId="77777777" w:rsidR="00CD27EF" w:rsidRDefault="00CD27EF" w:rsidP="008713F5">
      <w:pPr>
        <w:numPr>
          <w:ilvl w:val="0"/>
          <w:numId w:val="21"/>
        </w:numPr>
        <w:tabs>
          <w:tab w:val="left" w:pos="11232"/>
        </w:tabs>
        <w:jc w:val="both"/>
      </w:pPr>
      <w:r>
        <w:t xml:space="preserve">The investigator analyzes the scene of the incident, preferably immediately after the injured employee has been treated, before the scene can be changed and important evidence can be destroyed.  </w:t>
      </w:r>
    </w:p>
    <w:p w14:paraId="56263469" w14:textId="77777777" w:rsidR="00CD27EF" w:rsidRDefault="00CD27EF" w:rsidP="00CD27EF">
      <w:pPr>
        <w:pStyle w:val="ListParagraph"/>
      </w:pPr>
    </w:p>
    <w:p w14:paraId="12B58680" w14:textId="77777777" w:rsidR="00CD27EF" w:rsidRDefault="00CD27EF" w:rsidP="00CD27EF">
      <w:pPr>
        <w:tabs>
          <w:tab w:val="left" w:pos="11232"/>
        </w:tabs>
        <w:ind w:left="720"/>
        <w:jc w:val="both"/>
      </w:pPr>
      <w:r>
        <w:t xml:space="preserve">Photographs should be taken if necessary.  The investigator should talk privately with witnesses and others who may have relevant information and obtain written, signed statements as appropriate.    </w:t>
      </w:r>
    </w:p>
    <w:p w14:paraId="58F5949F" w14:textId="77777777" w:rsidR="00CD27EF" w:rsidRDefault="00CD27EF" w:rsidP="00CD27EF">
      <w:pPr>
        <w:pStyle w:val="ListParagraph"/>
      </w:pPr>
    </w:p>
    <w:p w14:paraId="60537379" w14:textId="77777777" w:rsidR="00E942C7" w:rsidRDefault="00CD27EF" w:rsidP="00CD27EF">
      <w:pPr>
        <w:tabs>
          <w:tab w:val="left" w:pos="11232"/>
        </w:tabs>
        <w:ind w:left="720"/>
        <w:jc w:val="both"/>
      </w:pPr>
      <w:r>
        <w:t>The goal of the incident</w:t>
      </w:r>
      <w:r w:rsidR="00DC658E" w:rsidRPr="0025502A">
        <w:t xml:space="preserve"> investigat</w:t>
      </w:r>
      <w:r w:rsidR="005B432E" w:rsidRPr="0025502A">
        <w:t xml:space="preserve">ion team </w:t>
      </w:r>
      <w:r w:rsidR="0025502A">
        <w:t xml:space="preserve">is to gather additional input, </w:t>
      </w:r>
      <w:r w:rsidR="00DC658E" w:rsidRPr="0025502A">
        <w:t>establish root cause of incide</w:t>
      </w:r>
      <w:r w:rsidR="005B432E" w:rsidRPr="0025502A">
        <w:t xml:space="preserve">nt and discuss recommendations </w:t>
      </w:r>
      <w:r w:rsidR="00962A85">
        <w:t>for prevention of reoccurrence.</w:t>
      </w:r>
      <w:r w:rsidR="00DC658E" w:rsidRPr="0025502A">
        <w:t xml:space="preserve"> </w:t>
      </w:r>
      <w:r>
        <w:t xml:space="preserve">If a Safety Rule was violated, this should be clearly specified with supporting details documented.  </w:t>
      </w:r>
    </w:p>
    <w:p w14:paraId="7C81CF61" w14:textId="77777777" w:rsidR="00E942C7" w:rsidRDefault="00E942C7" w:rsidP="00E942C7">
      <w:pPr>
        <w:tabs>
          <w:tab w:val="left" w:pos="11232"/>
        </w:tabs>
        <w:jc w:val="both"/>
      </w:pPr>
    </w:p>
    <w:p w14:paraId="14F098D4" w14:textId="25B22BDB" w:rsidR="00F43C70" w:rsidRDefault="00CD27EF" w:rsidP="005F568F">
      <w:pPr>
        <w:tabs>
          <w:tab w:val="left" w:pos="11232"/>
        </w:tabs>
        <w:ind w:left="720"/>
        <w:jc w:val="both"/>
      </w:pPr>
      <w:r>
        <w:t>All f</w:t>
      </w:r>
      <w:r w:rsidR="00DC658E" w:rsidRPr="0025502A">
        <w:t>indings and</w:t>
      </w:r>
      <w:r w:rsidR="005B432E" w:rsidRPr="0025502A">
        <w:t xml:space="preserve"> recommendations</w:t>
      </w:r>
      <w:r>
        <w:t xml:space="preserve"> of the incident investigation</w:t>
      </w:r>
      <w:r w:rsidR="005B432E" w:rsidRPr="0025502A">
        <w:t xml:space="preserve"> </w:t>
      </w:r>
      <w:r>
        <w:t>will be reviewed with the Employee</w:t>
      </w:r>
      <w:r w:rsidR="00DC658E" w:rsidRPr="0025502A">
        <w:t xml:space="preserve"> Safety Committee.   </w:t>
      </w:r>
    </w:p>
    <w:p w14:paraId="6D23CB63" w14:textId="77777777" w:rsidR="005337C9" w:rsidRDefault="005337C9" w:rsidP="00E942C7">
      <w:pPr>
        <w:tabs>
          <w:tab w:val="left" w:pos="11232"/>
        </w:tabs>
        <w:jc w:val="both"/>
      </w:pPr>
    </w:p>
    <w:p w14:paraId="113E9505" w14:textId="77777777" w:rsidR="00672641" w:rsidRDefault="00DC658E" w:rsidP="00672641">
      <w:pPr>
        <w:numPr>
          <w:ilvl w:val="0"/>
          <w:numId w:val="21"/>
        </w:numPr>
        <w:tabs>
          <w:tab w:val="left" w:pos="11232"/>
        </w:tabs>
        <w:jc w:val="both"/>
      </w:pPr>
      <w:r w:rsidRPr="00990E24">
        <w:t xml:space="preserve">Work restrictions are coordinated with </w:t>
      </w:r>
      <w:r w:rsidR="001A3A99">
        <w:t xml:space="preserve">the </w:t>
      </w:r>
      <w:r w:rsidR="0025502A">
        <w:t>supervisor</w:t>
      </w:r>
      <w:r w:rsidRPr="00990E24">
        <w:t xml:space="preserve"> and injured worker with </w:t>
      </w:r>
      <w:r w:rsidR="00093C13">
        <w:t>input from Human Resources</w:t>
      </w:r>
      <w:r w:rsidRPr="00990E24">
        <w:t xml:space="preserve">. </w:t>
      </w:r>
      <w:r w:rsidR="00093C13">
        <w:t xml:space="preserve">A </w:t>
      </w:r>
      <w:r w:rsidRPr="00990E24">
        <w:t xml:space="preserve">Rule 6 letter and Certificate of </w:t>
      </w:r>
      <w:smartTag w:uri="urn:schemas-microsoft-com:office:smarttags" w:element="PersonName">
        <w:r w:rsidRPr="00990E24">
          <w:t>Service</w:t>
        </w:r>
      </w:smartTag>
      <w:r w:rsidR="00D009FB">
        <w:t xml:space="preserve"> letter may be</w:t>
      </w:r>
      <w:r w:rsidRPr="00672641">
        <w:rPr>
          <w:i/>
        </w:rPr>
        <w:t xml:space="preserve"> </w:t>
      </w:r>
      <w:r w:rsidRPr="00990E24">
        <w:t>considered for all injured employees with work restrictions</w:t>
      </w:r>
      <w:r w:rsidR="00D009FB">
        <w:t xml:space="preserve"> that require work in a position outside their normal position</w:t>
      </w:r>
      <w:r w:rsidRPr="00990E24">
        <w:t>.</w:t>
      </w:r>
    </w:p>
    <w:p w14:paraId="28E7A4A1" w14:textId="77777777" w:rsidR="00672641" w:rsidRDefault="00672641" w:rsidP="00672641">
      <w:pPr>
        <w:tabs>
          <w:tab w:val="left" w:pos="11232"/>
        </w:tabs>
        <w:ind w:left="720"/>
        <w:jc w:val="both"/>
      </w:pPr>
    </w:p>
    <w:p w14:paraId="59A376B9" w14:textId="77777777" w:rsidR="00672641" w:rsidRDefault="00672641" w:rsidP="00672641">
      <w:pPr>
        <w:ind w:left="720"/>
        <w:jc w:val="both"/>
      </w:pPr>
      <w:r>
        <w:t xml:space="preserve">Once an appropriate modified duty task has been identified, Human Resources sends the proposed tasks to the treating physician for approval along with a copy to the employee.  The </w:t>
      </w:r>
      <w:r>
        <w:lastRenderedPageBreak/>
        <w:t xml:space="preserve">notification to both the treating physician and injured employee will be facilitated in the same manner on the same day (i.e., both hand-delivered, mailed, faxed, etc.).  </w:t>
      </w:r>
    </w:p>
    <w:p w14:paraId="6F0E86EC" w14:textId="77777777" w:rsidR="00672641" w:rsidRDefault="00672641" w:rsidP="00672641">
      <w:pPr>
        <w:ind w:left="720"/>
        <w:jc w:val="both"/>
      </w:pPr>
    </w:p>
    <w:p w14:paraId="1B5B0545" w14:textId="77777777" w:rsidR="00672641" w:rsidRDefault="00672641" w:rsidP="00672641">
      <w:pPr>
        <w:ind w:left="720"/>
        <w:jc w:val="both"/>
      </w:pPr>
      <w:r w:rsidRPr="00990E24">
        <w:t>Human Resour</w:t>
      </w:r>
      <w:r>
        <w:t>ces will facilitate</w:t>
      </w:r>
      <w:r w:rsidRPr="00990E24">
        <w:t xml:space="preserve"> discussions</w:t>
      </w:r>
      <w:r>
        <w:t xml:space="preserve"> with the supervisor</w:t>
      </w:r>
      <w:r w:rsidRPr="00990E24">
        <w:t xml:space="preserve"> regarding accommodating work restrictions. </w:t>
      </w:r>
    </w:p>
    <w:p w14:paraId="0DE5F386" w14:textId="77777777" w:rsidR="00672641" w:rsidRDefault="00672641" w:rsidP="00672641">
      <w:pPr>
        <w:ind w:left="720"/>
        <w:jc w:val="both"/>
      </w:pPr>
    </w:p>
    <w:p w14:paraId="49BC0BC9" w14:textId="77777777" w:rsidR="00672641" w:rsidRDefault="00672641" w:rsidP="00672641">
      <w:pPr>
        <w:ind w:left="720"/>
        <w:jc w:val="both"/>
      </w:pPr>
      <w:r w:rsidRPr="00990E24">
        <w:t>Injured workers with an open worker’s comp claim may not work</w:t>
      </w:r>
      <w:r>
        <w:t xml:space="preserve"> overtime without administrative approval!</w:t>
      </w:r>
    </w:p>
    <w:p w14:paraId="4E1CE906" w14:textId="77777777" w:rsidR="00D009FB" w:rsidRDefault="00D009FB" w:rsidP="00D009FB">
      <w:pPr>
        <w:tabs>
          <w:tab w:val="left" w:pos="11232"/>
        </w:tabs>
        <w:jc w:val="both"/>
      </w:pPr>
    </w:p>
    <w:p w14:paraId="46245E33" w14:textId="77777777" w:rsidR="00672641" w:rsidRDefault="00672641" w:rsidP="00672641">
      <w:pPr>
        <w:numPr>
          <w:ilvl w:val="0"/>
          <w:numId w:val="21"/>
        </w:numPr>
        <w:tabs>
          <w:tab w:val="left" w:pos="11232"/>
        </w:tabs>
        <w:jc w:val="both"/>
      </w:pPr>
      <w:r>
        <w:t xml:space="preserve">During the modified duty period, Human Resources will provide the insurance carrier records of wages paid to the injured worker.  If the injured worker is receiving full wages during the modified duty period, Human Resources will provide the carrier a statement to that effect and no additional pay record notification is required.   </w:t>
      </w:r>
    </w:p>
    <w:p w14:paraId="7C3EAE41" w14:textId="77777777" w:rsidR="008713F5" w:rsidRDefault="008713F5" w:rsidP="00D009FB">
      <w:pPr>
        <w:tabs>
          <w:tab w:val="left" w:pos="11232"/>
        </w:tabs>
        <w:jc w:val="both"/>
      </w:pPr>
    </w:p>
    <w:p w14:paraId="0BAFEAC1" w14:textId="77777777" w:rsidR="00672641" w:rsidRDefault="00F15D39" w:rsidP="00672641">
      <w:pPr>
        <w:numPr>
          <w:ilvl w:val="0"/>
          <w:numId w:val="21"/>
        </w:numPr>
        <w:tabs>
          <w:tab w:val="left" w:pos="11232"/>
        </w:tabs>
        <w:jc w:val="both"/>
      </w:pPr>
      <w:r>
        <w:t>Modified duty assignments are designed to be temporary and transitional in nature.  Such assignments</w:t>
      </w:r>
      <w:r w:rsidR="001A3A99">
        <w:t xml:space="preserve"> will be allowed as long as it is realistic for the job to continue or until the injured worker receives a release to full duty or reaches maximum medical improvement (MMI).  </w:t>
      </w:r>
    </w:p>
    <w:p w14:paraId="76CD9A65" w14:textId="77777777" w:rsidR="00672641" w:rsidRDefault="00672641" w:rsidP="00672641">
      <w:pPr>
        <w:tabs>
          <w:tab w:val="left" w:pos="11232"/>
        </w:tabs>
        <w:ind w:left="720"/>
        <w:jc w:val="both"/>
      </w:pPr>
    </w:p>
    <w:p w14:paraId="48A8FBF1" w14:textId="77777777" w:rsidR="00962A85" w:rsidRDefault="001A3A99" w:rsidP="00201F7A">
      <w:pPr>
        <w:numPr>
          <w:ilvl w:val="0"/>
          <w:numId w:val="21"/>
        </w:numPr>
        <w:tabs>
          <w:tab w:val="left" w:pos="11232"/>
        </w:tabs>
        <w:jc w:val="both"/>
      </w:pPr>
      <w:r>
        <w:t xml:space="preserve">While on modified duty, the injured worker will be held to all existing personnel policies and will be responsible for maintaining acceptable performance standards as a condition of continued employment. </w:t>
      </w:r>
    </w:p>
    <w:p w14:paraId="15D63215" w14:textId="77777777" w:rsidR="002F7A56" w:rsidRDefault="002F7A56" w:rsidP="00201F7A">
      <w:pPr>
        <w:tabs>
          <w:tab w:val="left" w:pos="11232"/>
        </w:tabs>
        <w:jc w:val="both"/>
      </w:pPr>
    </w:p>
    <w:p w14:paraId="554C07D3" w14:textId="77777777" w:rsidR="00672641" w:rsidRDefault="00962A85" w:rsidP="00672641">
      <w:pPr>
        <w:numPr>
          <w:ilvl w:val="0"/>
          <w:numId w:val="21"/>
        </w:numPr>
        <w:tabs>
          <w:tab w:val="left" w:pos="11232"/>
        </w:tabs>
        <w:jc w:val="both"/>
      </w:pPr>
      <w:r>
        <w:t>I</w:t>
      </w:r>
      <w:r w:rsidR="001A3A99">
        <w:t>n an effort to expedite recovery, when the</w:t>
      </w:r>
      <w:r w:rsidR="001A3A99" w:rsidRPr="00990E24">
        <w:t xml:space="preserve"> </w:t>
      </w:r>
      <w:r w:rsidR="001A3A99">
        <w:t xml:space="preserve">injured worker </w:t>
      </w:r>
      <w:r>
        <w:t xml:space="preserve">attends </w:t>
      </w:r>
      <w:r w:rsidR="001A3A99">
        <w:t>appointments</w:t>
      </w:r>
      <w:r w:rsidR="001D705C">
        <w:t xml:space="preserve"> at </w:t>
      </w:r>
      <w:r w:rsidR="00CD27EF">
        <w:t>ROMP</w:t>
      </w:r>
      <w:r w:rsidR="001A3A99">
        <w:t xml:space="preserve"> related to their injury on scheduled work days,</w:t>
      </w:r>
      <w:r>
        <w:t xml:space="preserve"> they are</w:t>
      </w:r>
      <w:r w:rsidR="001A3A99">
        <w:t xml:space="preserve"> allowed to</w:t>
      </w:r>
      <w:r w:rsidR="001A3A99" w:rsidRPr="00990E24">
        <w:t xml:space="preserve"> stay on the clock</w:t>
      </w:r>
      <w:r>
        <w:t>.  However</w:t>
      </w:r>
      <w:r w:rsidR="001A3A99">
        <w:t>, the employee</w:t>
      </w:r>
      <w:r w:rsidR="001A3A99" w:rsidRPr="00990E24">
        <w:t xml:space="preserve"> must coordinate the time of their appointment with their supervisor</w:t>
      </w:r>
      <w:r>
        <w:t xml:space="preserve"> to help ensure the necessary coverage is available</w:t>
      </w:r>
      <w:r w:rsidR="001A3A99" w:rsidRPr="00990E24">
        <w:t>.</w:t>
      </w:r>
    </w:p>
    <w:p w14:paraId="60D50C55" w14:textId="77777777" w:rsidR="009D05F8" w:rsidRDefault="009D05F8" w:rsidP="00672641">
      <w:pPr>
        <w:tabs>
          <w:tab w:val="left" w:pos="11232"/>
        </w:tabs>
        <w:ind w:left="720"/>
        <w:jc w:val="both"/>
      </w:pPr>
    </w:p>
    <w:p w14:paraId="7317B4FC" w14:textId="609108E0" w:rsidR="00F43C70" w:rsidRDefault="001A3A99" w:rsidP="00E942C7">
      <w:pPr>
        <w:numPr>
          <w:ilvl w:val="0"/>
          <w:numId w:val="21"/>
        </w:numPr>
        <w:tabs>
          <w:tab w:val="left" w:pos="11232"/>
        </w:tabs>
        <w:jc w:val="both"/>
      </w:pPr>
      <w:r>
        <w:t>When an employee is required to see a physician out-of-town for treatment,</w:t>
      </w:r>
      <w:r w:rsidR="00D009FB">
        <w:t xml:space="preserve"> the time spent traveling to and attending the appointment is not considered paid time.  The employee may use SL and/or PTO or may report the work time missed to the insurance carrier as lost time.  The employee is also responsible for tracking and reporting their</w:t>
      </w:r>
      <w:r>
        <w:t xml:space="preserve"> mileage </w:t>
      </w:r>
      <w:r w:rsidR="00D009FB">
        <w:t>to the insurance carrier for reimbursement</w:t>
      </w:r>
      <w:r>
        <w:t xml:space="preserve">. </w:t>
      </w:r>
    </w:p>
    <w:p w14:paraId="6F87201B" w14:textId="77777777" w:rsidR="00F43C70" w:rsidRDefault="00F43C70" w:rsidP="00E942C7">
      <w:pPr>
        <w:tabs>
          <w:tab w:val="left" w:pos="11232"/>
        </w:tabs>
        <w:jc w:val="both"/>
      </w:pPr>
    </w:p>
    <w:p w14:paraId="2DE78FB0" w14:textId="77777777" w:rsidR="00672641" w:rsidRDefault="00093C13" w:rsidP="00672641">
      <w:pPr>
        <w:numPr>
          <w:ilvl w:val="0"/>
          <w:numId w:val="21"/>
        </w:numPr>
        <w:tabs>
          <w:tab w:val="left" w:pos="11232"/>
        </w:tabs>
        <w:jc w:val="both"/>
      </w:pPr>
      <w:r>
        <w:t xml:space="preserve">If applicable, </w:t>
      </w:r>
      <w:r w:rsidR="00DC658E" w:rsidRPr="00990E24">
        <w:t>Human Resources will run FMLA concurrent with an injured worker’s lost time</w:t>
      </w:r>
      <w:r w:rsidR="005337C9">
        <w:t xml:space="preserve"> from work</w:t>
      </w:r>
      <w:r w:rsidR="00C06813">
        <w:t>.</w:t>
      </w:r>
      <w:r w:rsidR="00C06813" w:rsidRPr="00990E24">
        <w:t xml:space="preserve"> </w:t>
      </w:r>
      <w:r w:rsidR="00DC658E" w:rsidRPr="00990E24">
        <w:t xml:space="preserve"> </w:t>
      </w:r>
      <w:r w:rsidR="00151780">
        <w:t xml:space="preserve">An employee’s use of PTO or SL is optional, but employees will be required to ensure their payroll deductions are covered.  </w:t>
      </w:r>
    </w:p>
    <w:p w14:paraId="278031B9" w14:textId="77777777" w:rsidR="00672641" w:rsidRDefault="00672641" w:rsidP="00672641">
      <w:pPr>
        <w:tabs>
          <w:tab w:val="left" w:pos="11232"/>
        </w:tabs>
        <w:ind w:left="720"/>
        <w:jc w:val="both"/>
      </w:pPr>
    </w:p>
    <w:p w14:paraId="7C00576D" w14:textId="77777777" w:rsidR="00E942C7" w:rsidRDefault="001A3A99" w:rsidP="00F43C70">
      <w:pPr>
        <w:numPr>
          <w:ilvl w:val="0"/>
          <w:numId w:val="21"/>
        </w:numPr>
        <w:tabs>
          <w:tab w:val="left" w:pos="11232"/>
        </w:tabs>
        <w:jc w:val="both"/>
      </w:pPr>
      <w:r>
        <w:t>Human Resources will maintain regular contact with the injured worker and the medical provider.  It is the responsibility of the injured worker and/or medical provider to provide Human Resources recovery status information and work restriction updates</w:t>
      </w:r>
      <w:r w:rsidR="00C35092">
        <w:t xml:space="preserve"> within 24 hours of an appointment</w:t>
      </w:r>
      <w:r>
        <w:t xml:space="preserve">.  </w:t>
      </w:r>
    </w:p>
    <w:p w14:paraId="3426ECE8" w14:textId="77777777" w:rsidR="00E942C7" w:rsidRDefault="00E942C7" w:rsidP="00E6113B">
      <w:pPr>
        <w:tabs>
          <w:tab w:val="left" w:pos="11232"/>
        </w:tabs>
        <w:jc w:val="both"/>
      </w:pPr>
    </w:p>
    <w:p w14:paraId="545B40F2" w14:textId="77777777" w:rsidR="00D009FB" w:rsidRDefault="00DC658E" w:rsidP="005337C9">
      <w:pPr>
        <w:numPr>
          <w:ilvl w:val="0"/>
          <w:numId w:val="21"/>
        </w:numPr>
        <w:tabs>
          <w:tab w:val="left" w:pos="11232"/>
        </w:tabs>
        <w:jc w:val="both"/>
      </w:pPr>
      <w:r w:rsidRPr="00875F23">
        <w:lastRenderedPageBreak/>
        <w:t>Onc</w:t>
      </w:r>
      <w:r w:rsidR="0025502A">
        <w:t>e employee is released from worker's compensation care</w:t>
      </w:r>
      <w:r w:rsidR="00C06813">
        <w:t xml:space="preserve">, </w:t>
      </w:r>
      <w:r w:rsidRPr="00875F23">
        <w:t>a M164 noting MMI-maxim</w:t>
      </w:r>
      <w:r>
        <w:t>um</w:t>
      </w:r>
      <w:r w:rsidRPr="00875F23">
        <w:t xml:space="preserve"> medical improvement</w:t>
      </w:r>
      <w:r w:rsidR="00C06813">
        <w:t xml:space="preserve"> is provided.  The employee's case</w:t>
      </w:r>
      <w:r w:rsidRPr="00875F23">
        <w:t xml:space="preserve"> file is closed if</w:t>
      </w:r>
      <w:r w:rsidR="00C06813">
        <w:t xml:space="preserve"> there are</w:t>
      </w:r>
      <w:r w:rsidRPr="00875F23">
        <w:t xml:space="preserve"> no restrictions</w:t>
      </w:r>
      <w:r w:rsidR="00C06813">
        <w:t xml:space="preserve"> noted</w:t>
      </w:r>
      <w:r w:rsidRPr="00875F23">
        <w:t xml:space="preserve">. If there are permanent restrictions, a determination must be made if </w:t>
      </w:r>
      <w:r w:rsidR="00C06813">
        <w:t xml:space="preserve">the </w:t>
      </w:r>
      <w:r w:rsidRPr="00875F23">
        <w:t>employee can perform the necessary job duties in their job de</w:t>
      </w:r>
      <w:r>
        <w:t>s</w:t>
      </w:r>
      <w:r w:rsidRPr="00875F23">
        <w:t>cription with reasonable accommodation. A FCE-functional capacity evaluation may be necessary. This will be coordinat</w:t>
      </w:r>
      <w:r w:rsidR="00C06813">
        <w:t xml:space="preserve">ed by Human Resource with input from the </w:t>
      </w:r>
      <w:r w:rsidR="0025502A">
        <w:t>supervisor</w:t>
      </w:r>
      <w:r>
        <w:t xml:space="preserve"> and </w:t>
      </w:r>
      <w:r w:rsidRPr="00875F23">
        <w:t xml:space="preserve">others as </w:t>
      </w:r>
      <w:r>
        <w:t>necessary.</w:t>
      </w:r>
    </w:p>
    <w:p w14:paraId="4BD75463" w14:textId="77777777" w:rsidR="00D009FB" w:rsidRDefault="00D009FB" w:rsidP="00672641">
      <w:pPr>
        <w:tabs>
          <w:tab w:val="left" w:pos="11232"/>
        </w:tabs>
        <w:ind w:left="720"/>
        <w:jc w:val="both"/>
      </w:pPr>
    </w:p>
    <w:p w14:paraId="1ECD36F4" w14:textId="77777777" w:rsidR="00F15D39" w:rsidRPr="00672641" w:rsidRDefault="00F15D39" w:rsidP="00672641">
      <w:pPr>
        <w:numPr>
          <w:ilvl w:val="0"/>
          <w:numId w:val="21"/>
        </w:numPr>
        <w:tabs>
          <w:tab w:val="left" w:pos="11232"/>
        </w:tabs>
        <w:jc w:val="both"/>
      </w:pPr>
      <w:r w:rsidRPr="00672641">
        <w:rPr>
          <w:bCs/>
        </w:rPr>
        <w:t xml:space="preserve">All correspondence and documentation related to an employee's worker's compensation case will be maintained confidentially in a file separate from their main personnel file.  </w:t>
      </w:r>
    </w:p>
    <w:p w14:paraId="41C1F214" w14:textId="77777777" w:rsidR="00D31D3D" w:rsidRDefault="00D31D3D" w:rsidP="00D31D3D">
      <w:pPr>
        <w:ind w:left="-90"/>
        <w:rPr>
          <w:sz w:val="28"/>
          <w:szCs w:val="28"/>
          <w:u w:val="single"/>
        </w:rPr>
      </w:pPr>
    </w:p>
    <w:p w14:paraId="4870AF06" w14:textId="77777777" w:rsidR="00703B43" w:rsidRDefault="00B5063F" w:rsidP="00D31D3D">
      <w:pPr>
        <w:ind w:left="-90"/>
        <w:rPr>
          <w:sz w:val="28"/>
          <w:szCs w:val="28"/>
        </w:rPr>
      </w:pPr>
      <w:r w:rsidRPr="009C3FA5">
        <w:rPr>
          <w:b/>
          <w:sz w:val="28"/>
          <w:szCs w:val="28"/>
          <w:u w:val="single"/>
        </w:rPr>
        <w:t>I</w:t>
      </w:r>
      <w:r w:rsidR="00D31D3D">
        <w:rPr>
          <w:b/>
          <w:sz w:val="28"/>
          <w:szCs w:val="28"/>
          <w:u w:val="single"/>
        </w:rPr>
        <w:t>II</w:t>
      </w:r>
      <w:r w:rsidR="00136078" w:rsidRPr="009C3FA5">
        <w:rPr>
          <w:b/>
          <w:sz w:val="28"/>
          <w:szCs w:val="28"/>
          <w:u w:val="single"/>
        </w:rPr>
        <w:t xml:space="preserve">. </w:t>
      </w:r>
      <w:r w:rsidR="0042709B" w:rsidRPr="009C3FA5">
        <w:rPr>
          <w:b/>
          <w:sz w:val="28"/>
          <w:szCs w:val="28"/>
          <w:u w:val="single"/>
        </w:rPr>
        <w:t>Attachments</w:t>
      </w:r>
      <w:r w:rsidR="005337C9">
        <w:rPr>
          <w:b/>
          <w:sz w:val="28"/>
          <w:szCs w:val="28"/>
          <w:u w:val="single"/>
        </w:rPr>
        <w:t>/References</w:t>
      </w:r>
      <w:r w:rsidR="00136078" w:rsidRPr="009C3FA5">
        <w:rPr>
          <w:b/>
          <w:sz w:val="28"/>
          <w:szCs w:val="28"/>
          <w:u w:val="single"/>
        </w:rPr>
        <w:t>:</w:t>
      </w:r>
      <w:r w:rsidR="00136078">
        <w:rPr>
          <w:sz w:val="28"/>
          <w:szCs w:val="28"/>
        </w:rPr>
        <w:t xml:space="preserve">  </w:t>
      </w:r>
    </w:p>
    <w:p w14:paraId="25F75724" w14:textId="77777777" w:rsidR="005337C9" w:rsidRPr="005337C9" w:rsidRDefault="00F15D39" w:rsidP="005337C9">
      <w:pPr>
        <w:numPr>
          <w:ilvl w:val="0"/>
          <w:numId w:val="30"/>
        </w:numPr>
        <w:rPr>
          <w:u w:val="single"/>
        </w:rPr>
      </w:pPr>
      <w:r>
        <w:t xml:space="preserve">First </w:t>
      </w:r>
      <w:r w:rsidR="005337C9">
        <w:t>Report of Injury</w:t>
      </w:r>
    </w:p>
    <w:p w14:paraId="1CD6D161" w14:textId="77777777" w:rsidR="005337C9" w:rsidRPr="005337C9" w:rsidRDefault="005337C9" w:rsidP="005337C9">
      <w:pPr>
        <w:numPr>
          <w:ilvl w:val="0"/>
          <w:numId w:val="30"/>
        </w:numPr>
        <w:rPr>
          <w:u w:val="single"/>
        </w:rPr>
      </w:pPr>
      <w:r>
        <w:t>Accident Report</w:t>
      </w:r>
      <w:r w:rsidR="00F15D39">
        <w:t xml:space="preserve"> </w:t>
      </w:r>
    </w:p>
    <w:p w14:paraId="782B2CC8" w14:textId="77777777" w:rsidR="005337C9" w:rsidRPr="005337C9" w:rsidRDefault="005337C9" w:rsidP="005337C9">
      <w:pPr>
        <w:numPr>
          <w:ilvl w:val="0"/>
          <w:numId w:val="30"/>
        </w:numPr>
        <w:rPr>
          <w:u w:val="single"/>
        </w:rPr>
      </w:pPr>
      <w:r>
        <w:t>Designated Provider Notice</w:t>
      </w:r>
      <w:r w:rsidR="0025502A">
        <w:t xml:space="preserve"> </w:t>
      </w:r>
    </w:p>
    <w:p w14:paraId="2B61FDDA" w14:textId="77777777" w:rsidR="005337C9" w:rsidRPr="005337C9" w:rsidRDefault="005E3F14" w:rsidP="005337C9">
      <w:pPr>
        <w:numPr>
          <w:ilvl w:val="0"/>
          <w:numId w:val="30"/>
        </w:numPr>
        <w:rPr>
          <w:u w:val="single"/>
        </w:rPr>
      </w:pPr>
      <w:r w:rsidRPr="005E3F14">
        <w:t>HCW BBF Exposure Checklist</w:t>
      </w:r>
      <w:r w:rsidR="008713F5">
        <w:t xml:space="preserve"> </w:t>
      </w:r>
    </w:p>
    <w:p w14:paraId="69545E26" w14:textId="77777777" w:rsidR="005337C9" w:rsidRPr="005337C9" w:rsidRDefault="008713F5" w:rsidP="005337C9">
      <w:pPr>
        <w:numPr>
          <w:ilvl w:val="0"/>
          <w:numId w:val="30"/>
        </w:numPr>
        <w:rPr>
          <w:u w:val="single"/>
        </w:rPr>
      </w:pPr>
      <w:r>
        <w:t>Workforce Drug &amp; Alcoho</w:t>
      </w:r>
      <w:r w:rsidR="005337C9">
        <w:t>l Testing Policy and Procedure</w:t>
      </w:r>
    </w:p>
    <w:p w14:paraId="64ACBC5B" w14:textId="77777777" w:rsidR="0042709B" w:rsidRPr="008713F5" w:rsidRDefault="008713F5" w:rsidP="005337C9">
      <w:pPr>
        <w:numPr>
          <w:ilvl w:val="0"/>
          <w:numId w:val="30"/>
        </w:numPr>
        <w:rPr>
          <w:u w:val="single"/>
        </w:rPr>
      </w:pPr>
      <w:r>
        <w:t>FMLA Policy and Procedure</w:t>
      </w:r>
    </w:p>
    <w:sectPr w:rsidR="0042709B" w:rsidRPr="008713F5" w:rsidSect="005F568F">
      <w:headerReference w:type="even" r:id="rId11"/>
      <w:headerReference w:type="default" r:id="rId12"/>
      <w:footerReference w:type="default" r:id="rId13"/>
      <w:pgSz w:w="12240" w:h="15840"/>
      <w:pgMar w:top="297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6F660" w14:textId="77777777" w:rsidR="00870488" w:rsidRDefault="00870488">
      <w:r>
        <w:separator/>
      </w:r>
    </w:p>
  </w:endnote>
  <w:endnote w:type="continuationSeparator" w:id="0">
    <w:p w14:paraId="143122E5" w14:textId="77777777" w:rsidR="00870488" w:rsidRDefault="0087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5EC1" w14:textId="77777777" w:rsidR="00B950B0" w:rsidRDefault="00B950B0">
    <w:pPr>
      <w:pStyle w:val="Footer"/>
    </w:pPr>
    <w:r w:rsidRPr="008B3A5B">
      <w:rPr>
        <w:sz w:val="16"/>
        <w:szCs w:val="16"/>
      </w:rPr>
      <w:t xml:space="preserve">Version:  </w:t>
    </w:r>
    <w:r>
      <w:rPr>
        <w:sz w:val="16"/>
        <w:szCs w:val="16"/>
      </w:rPr>
      <w:t>HR.06</w:t>
    </w:r>
    <w:r w:rsidRPr="008B3A5B">
      <w:rPr>
        <w:sz w:val="16"/>
        <w:szCs w:val="16"/>
      </w:rPr>
      <w:t xml:space="preserve"> Effecti</w:t>
    </w:r>
    <w:r>
      <w:rPr>
        <w:sz w:val="16"/>
        <w:szCs w:val="16"/>
      </w:rPr>
      <w:t xml:space="preserve">ve </w:t>
    </w:r>
    <w:r w:rsidR="00151780">
      <w:rPr>
        <w:sz w:val="16"/>
        <w:szCs w:val="16"/>
      </w:rPr>
      <w:t>1/1/21</w:t>
    </w:r>
    <w:r>
      <w:tab/>
    </w:r>
    <w:r>
      <w:tab/>
    </w:r>
    <w:r>
      <w:rPr>
        <w:rStyle w:val="PageNumber"/>
      </w:rPr>
      <w:fldChar w:fldCharType="begin"/>
    </w:r>
    <w:r>
      <w:rPr>
        <w:rStyle w:val="PageNumber"/>
      </w:rPr>
      <w:instrText xml:space="preserve"> PAGE </w:instrText>
    </w:r>
    <w:r>
      <w:rPr>
        <w:rStyle w:val="PageNumber"/>
      </w:rPr>
      <w:fldChar w:fldCharType="separate"/>
    </w:r>
    <w:r w:rsidR="0083197B">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E61E" w14:textId="77777777" w:rsidR="00870488" w:rsidRDefault="00870488">
      <w:r>
        <w:separator/>
      </w:r>
    </w:p>
  </w:footnote>
  <w:footnote w:type="continuationSeparator" w:id="0">
    <w:p w14:paraId="36F568D2" w14:textId="77777777" w:rsidR="00870488" w:rsidRDefault="00870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FC51" w14:textId="2B4FDBB1" w:rsidR="00B950B0" w:rsidRDefault="00B950B0" w:rsidP="007636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5F568F">
      <w:rPr>
        <w:rStyle w:val="PageNumber"/>
      </w:rPr>
      <w:fldChar w:fldCharType="separate"/>
    </w:r>
    <w:r w:rsidR="005F568F">
      <w:rPr>
        <w:rStyle w:val="PageNumber"/>
        <w:noProof/>
      </w:rPr>
      <w:t>3</w:t>
    </w:r>
    <w:r>
      <w:rPr>
        <w:rStyle w:val="PageNumber"/>
      </w:rPr>
      <w:fldChar w:fldCharType="end"/>
    </w:r>
  </w:p>
  <w:p w14:paraId="70ABA5F6" w14:textId="77777777" w:rsidR="00B950B0" w:rsidRDefault="00B950B0" w:rsidP="004500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CCF9" w14:textId="77777777" w:rsidR="00AE6C0C" w:rsidRPr="00AE6C0C" w:rsidRDefault="00AE6C0C" w:rsidP="00AE6C0C">
    <w:pPr>
      <w:pStyle w:val="Header"/>
      <w:tabs>
        <w:tab w:val="clear" w:pos="8640"/>
      </w:tabs>
      <w:jc w:val="right"/>
      <w:rPr>
        <w:rFonts w:ascii="Arial" w:hAnsi="Arial" w:cs="Arial"/>
        <w:i/>
        <w:iCs/>
        <w:color w:val="808080"/>
      </w:rPr>
    </w:pPr>
    <w:r w:rsidRPr="00AE6C0C">
      <w:rPr>
        <w:rFonts w:ascii="Arial" w:hAnsi="Arial" w:cs="Arial"/>
        <w:i/>
        <w:iCs/>
        <w:color w:val="808080"/>
      </w:rPr>
      <w:t>**ASHHRA Sample Policy-For Reference Purposes Only**</w:t>
    </w:r>
  </w:p>
  <w:p w14:paraId="6B014A7C" w14:textId="77777777" w:rsidR="005E67DD" w:rsidRDefault="005E67DD" w:rsidP="002F7A56">
    <w:pPr>
      <w:pStyle w:val="Header"/>
      <w:ind w:right="360"/>
      <w:jc w:val="center"/>
      <w:rPr>
        <w:b/>
        <w:sz w:val="20"/>
        <w:szCs w:val="20"/>
      </w:rPr>
    </w:pPr>
  </w:p>
  <w:p w14:paraId="52612EDC" w14:textId="77777777" w:rsidR="005E67DD" w:rsidRDefault="005E67DD" w:rsidP="002F7A56">
    <w:pPr>
      <w:pStyle w:val="Header"/>
      <w:ind w:right="360"/>
      <w:jc w:val="center"/>
      <w:rPr>
        <w:b/>
        <w:sz w:val="20"/>
        <w:szCs w:val="20"/>
      </w:rPr>
    </w:pPr>
  </w:p>
  <w:p w14:paraId="29F4B335" w14:textId="4D2DA434" w:rsidR="00201F7A" w:rsidRDefault="00B8712A" w:rsidP="002F7A56">
    <w:pPr>
      <w:pStyle w:val="Header"/>
      <w:ind w:right="360"/>
      <w:jc w:val="center"/>
      <w:rPr>
        <w:b/>
        <w:sz w:val="20"/>
        <w:szCs w:val="20"/>
      </w:rPr>
    </w:pPr>
    <w:r>
      <w:rPr>
        <w:b/>
        <w:sz w:val="20"/>
        <w:szCs w:val="20"/>
      </w:rPr>
      <w:t>XXXXX</w:t>
    </w:r>
    <w:r w:rsidR="00B950B0" w:rsidRPr="007C7F58">
      <w:rPr>
        <w:b/>
        <w:sz w:val="20"/>
        <w:szCs w:val="20"/>
      </w:rPr>
      <w:t xml:space="preserve"> </w:t>
    </w:r>
    <w:r w:rsidR="002F7A56">
      <w:rPr>
        <w:b/>
        <w:sz w:val="20"/>
        <w:szCs w:val="20"/>
      </w:rPr>
      <w:t>HEALTH</w:t>
    </w:r>
  </w:p>
  <w:p w14:paraId="2B8BBB3E" w14:textId="77777777" w:rsidR="00B950B0" w:rsidRPr="007C7F58" w:rsidRDefault="00B950B0" w:rsidP="00466BD9">
    <w:pPr>
      <w:pStyle w:val="Header"/>
      <w:ind w:right="360"/>
      <w:jc w:val="center"/>
      <w:rPr>
        <w:b/>
        <w:sz w:val="20"/>
        <w:szCs w:val="20"/>
      </w:rPr>
    </w:pPr>
    <w:r>
      <w:rPr>
        <w:b/>
        <w:sz w:val="20"/>
        <w:szCs w:val="20"/>
      </w:rPr>
      <w:t>Human Resources</w:t>
    </w:r>
  </w:p>
  <w:p w14:paraId="2A9AFBD6" w14:textId="77777777" w:rsidR="00B950B0" w:rsidRDefault="00B950B0" w:rsidP="00172F3F">
    <w:pPr>
      <w:pStyle w:val="Header"/>
      <w:jc w:val="center"/>
      <w:rPr>
        <w:b/>
        <w:sz w:val="20"/>
        <w:szCs w:val="20"/>
      </w:rPr>
    </w:pPr>
    <w:r>
      <w:rPr>
        <w:b/>
        <w:sz w:val="20"/>
        <w:szCs w:val="20"/>
      </w:rPr>
      <w:t>Worker's Compensation Policy and Procedure</w:t>
    </w:r>
  </w:p>
  <w:p w14:paraId="16BC1111" w14:textId="77777777" w:rsidR="00B950B0" w:rsidRDefault="00B950B0">
    <w:pPr>
      <w:pStyle w:val="Header"/>
      <w:rPr>
        <w:b/>
        <w:sz w:val="20"/>
        <w:szCs w:val="20"/>
      </w:rPr>
    </w:pPr>
  </w:p>
  <w:p w14:paraId="47E7883A" w14:textId="7CCDCF0B" w:rsidR="00B950B0" w:rsidRPr="002714E9" w:rsidRDefault="00B950B0" w:rsidP="00AE6C0C">
    <w:pPr>
      <w:pStyle w:val="Header"/>
      <w:tabs>
        <w:tab w:val="clear" w:pos="4320"/>
        <w:tab w:val="clear" w:pos="8640"/>
      </w:tabs>
      <w:jc w:val="center"/>
      <w:rPr>
        <w:b/>
        <w:i/>
        <w:sz w:val="20"/>
        <w:szCs w:val="20"/>
      </w:rPr>
    </w:pPr>
    <w:r>
      <w:rPr>
        <w:b/>
        <w:i/>
        <w:sz w:val="20"/>
        <w:szCs w:val="20"/>
      </w:rPr>
      <w:t>Department: Human Resources</w:t>
    </w:r>
    <w:r>
      <w:rPr>
        <w:b/>
        <w:i/>
        <w:sz w:val="20"/>
        <w:szCs w:val="20"/>
      </w:rPr>
      <w:tab/>
      <w:t>Document#</w:t>
    </w:r>
    <w:r w:rsidR="006F2617">
      <w:rPr>
        <w:b/>
        <w:i/>
        <w:sz w:val="20"/>
        <w:szCs w:val="20"/>
      </w:rPr>
      <w:t xml:space="preserve">: HR.06 </w:t>
    </w:r>
    <w:r w:rsidR="006F2617">
      <w:rPr>
        <w:b/>
        <w:i/>
        <w:sz w:val="20"/>
        <w:szCs w:val="20"/>
      </w:rPr>
      <w:tab/>
      <w:t xml:space="preserve">Effective Date: </w:t>
    </w:r>
    <w:r w:rsidR="00151780">
      <w:rPr>
        <w:b/>
        <w:i/>
        <w:sz w:val="20"/>
        <w:szCs w:val="20"/>
      </w:rPr>
      <w:t>1/1/21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7C"/>
      </v:shape>
    </w:pict>
  </w:numPicBullet>
  <w:abstractNum w:abstractNumId="0" w15:restartNumberingAfterBreak="0">
    <w:nsid w:val="02A653AD"/>
    <w:multiLevelType w:val="hybridMultilevel"/>
    <w:tmpl w:val="271CC18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CC5995"/>
    <w:multiLevelType w:val="hybridMultilevel"/>
    <w:tmpl w:val="E1E25FB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E700E93"/>
    <w:multiLevelType w:val="hybridMultilevel"/>
    <w:tmpl w:val="B7943A1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F030D3F"/>
    <w:multiLevelType w:val="hybridMultilevel"/>
    <w:tmpl w:val="933617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085B8A"/>
    <w:multiLevelType w:val="hybridMultilevel"/>
    <w:tmpl w:val="005408BC"/>
    <w:lvl w:ilvl="0" w:tplc="08A04B64">
      <w:start w:val="1"/>
      <w:numFmt w:val="upperLetter"/>
      <w:lvlText w:val="%1."/>
      <w:lvlJc w:val="left"/>
      <w:pPr>
        <w:tabs>
          <w:tab w:val="num" w:pos="2160"/>
        </w:tabs>
        <w:ind w:left="2160" w:hanging="720"/>
      </w:pPr>
      <w:rPr>
        <w:rFonts w:hint="default"/>
        <w:sz w:val="28"/>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60D1562"/>
    <w:multiLevelType w:val="hybridMultilevel"/>
    <w:tmpl w:val="A64C4022"/>
    <w:lvl w:ilvl="0" w:tplc="3D9E3D4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26930"/>
    <w:multiLevelType w:val="hybridMultilevel"/>
    <w:tmpl w:val="CDC82D10"/>
    <w:lvl w:ilvl="0" w:tplc="5616F536">
      <w:start w:val="1"/>
      <w:numFmt w:val="bullet"/>
      <w:lvlText w:val=""/>
      <w:lvlJc w:val="left"/>
      <w:pPr>
        <w:tabs>
          <w:tab w:val="num" w:pos="720"/>
        </w:tabs>
        <w:ind w:left="720" w:hanging="360"/>
      </w:pPr>
      <w:rPr>
        <w:rFonts w:ascii="Wingdings" w:hAnsi="Wingdings" w:hint="default"/>
        <w:b/>
      </w:rPr>
    </w:lvl>
    <w:lvl w:ilvl="1" w:tplc="0409000D">
      <w:start w:val="1"/>
      <w:numFmt w:val="bullet"/>
      <w:lvlText w:val=""/>
      <w:lvlJc w:val="left"/>
      <w:pPr>
        <w:tabs>
          <w:tab w:val="num" w:pos="1440"/>
        </w:tabs>
        <w:ind w:left="1440" w:hanging="360"/>
      </w:pPr>
      <w:rPr>
        <w:rFonts w:ascii="Wingdings" w:hAnsi="Wingdings"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1CE7"/>
    <w:multiLevelType w:val="hybridMultilevel"/>
    <w:tmpl w:val="F2C2AAA8"/>
    <w:lvl w:ilvl="0" w:tplc="04090019">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E1131B5"/>
    <w:multiLevelType w:val="hybridMultilevel"/>
    <w:tmpl w:val="53B80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146868"/>
    <w:multiLevelType w:val="hybridMultilevel"/>
    <w:tmpl w:val="7236DEAE"/>
    <w:lvl w:ilvl="0" w:tplc="04090001">
      <w:start w:val="1"/>
      <w:numFmt w:val="bullet"/>
      <w:lvlText w:val=""/>
      <w:lvlJc w:val="left"/>
      <w:pPr>
        <w:tabs>
          <w:tab w:val="num" w:pos="1080"/>
        </w:tabs>
        <w:ind w:left="1080" w:hanging="360"/>
      </w:pPr>
      <w:rPr>
        <w:rFonts w:ascii="Symbol" w:hAnsi="Symbol" w:hint="default"/>
        <w:sz w:val="28"/>
        <w:u w:val="none"/>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08806F1"/>
    <w:multiLevelType w:val="hybridMultilevel"/>
    <w:tmpl w:val="81F88844"/>
    <w:lvl w:ilvl="0" w:tplc="02968622">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11642"/>
    <w:multiLevelType w:val="hybridMultilevel"/>
    <w:tmpl w:val="1396E258"/>
    <w:lvl w:ilvl="0" w:tplc="0409000F">
      <w:start w:val="15"/>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E51EF7"/>
    <w:multiLevelType w:val="hybridMultilevel"/>
    <w:tmpl w:val="CB54001E"/>
    <w:lvl w:ilvl="0" w:tplc="D6261714">
      <w:start w:val="3"/>
      <w:numFmt w:val="decimal"/>
      <w:lvlText w:val="%1."/>
      <w:lvlJc w:val="left"/>
      <w:pPr>
        <w:tabs>
          <w:tab w:val="num" w:pos="960"/>
        </w:tabs>
        <w:ind w:left="960" w:hanging="360"/>
      </w:pPr>
      <w:rPr>
        <w:rFonts w:cs="Times New Roman" w:hint="default"/>
      </w:rPr>
    </w:lvl>
    <w:lvl w:ilvl="1" w:tplc="04090019" w:tentative="1">
      <w:start w:val="1"/>
      <w:numFmt w:val="lowerLetter"/>
      <w:lvlText w:val="%2."/>
      <w:lvlJc w:val="left"/>
      <w:pPr>
        <w:tabs>
          <w:tab w:val="num" w:pos="1680"/>
        </w:tabs>
        <w:ind w:left="1680" w:hanging="360"/>
      </w:pPr>
      <w:rPr>
        <w:rFonts w:cs="Times New Roman"/>
      </w:rPr>
    </w:lvl>
    <w:lvl w:ilvl="2" w:tplc="0409001B" w:tentative="1">
      <w:start w:val="1"/>
      <w:numFmt w:val="lowerRoman"/>
      <w:lvlText w:val="%3."/>
      <w:lvlJc w:val="right"/>
      <w:pPr>
        <w:tabs>
          <w:tab w:val="num" w:pos="2400"/>
        </w:tabs>
        <w:ind w:left="2400" w:hanging="180"/>
      </w:pPr>
      <w:rPr>
        <w:rFonts w:cs="Times New Roman"/>
      </w:rPr>
    </w:lvl>
    <w:lvl w:ilvl="3" w:tplc="0409000F" w:tentative="1">
      <w:start w:val="1"/>
      <w:numFmt w:val="decimal"/>
      <w:lvlText w:val="%4."/>
      <w:lvlJc w:val="left"/>
      <w:pPr>
        <w:tabs>
          <w:tab w:val="num" w:pos="3120"/>
        </w:tabs>
        <w:ind w:left="3120" w:hanging="360"/>
      </w:pPr>
      <w:rPr>
        <w:rFonts w:cs="Times New Roman"/>
      </w:rPr>
    </w:lvl>
    <w:lvl w:ilvl="4" w:tplc="04090019" w:tentative="1">
      <w:start w:val="1"/>
      <w:numFmt w:val="lowerLetter"/>
      <w:lvlText w:val="%5."/>
      <w:lvlJc w:val="left"/>
      <w:pPr>
        <w:tabs>
          <w:tab w:val="num" w:pos="3840"/>
        </w:tabs>
        <w:ind w:left="3840" w:hanging="360"/>
      </w:pPr>
      <w:rPr>
        <w:rFonts w:cs="Times New Roman"/>
      </w:rPr>
    </w:lvl>
    <w:lvl w:ilvl="5" w:tplc="0409001B" w:tentative="1">
      <w:start w:val="1"/>
      <w:numFmt w:val="lowerRoman"/>
      <w:lvlText w:val="%6."/>
      <w:lvlJc w:val="right"/>
      <w:pPr>
        <w:tabs>
          <w:tab w:val="num" w:pos="4560"/>
        </w:tabs>
        <w:ind w:left="4560" w:hanging="180"/>
      </w:pPr>
      <w:rPr>
        <w:rFonts w:cs="Times New Roman"/>
      </w:rPr>
    </w:lvl>
    <w:lvl w:ilvl="6" w:tplc="0409000F" w:tentative="1">
      <w:start w:val="1"/>
      <w:numFmt w:val="decimal"/>
      <w:lvlText w:val="%7."/>
      <w:lvlJc w:val="left"/>
      <w:pPr>
        <w:tabs>
          <w:tab w:val="num" w:pos="5280"/>
        </w:tabs>
        <w:ind w:left="5280" w:hanging="360"/>
      </w:pPr>
      <w:rPr>
        <w:rFonts w:cs="Times New Roman"/>
      </w:rPr>
    </w:lvl>
    <w:lvl w:ilvl="7" w:tplc="04090019" w:tentative="1">
      <w:start w:val="1"/>
      <w:numFmt w:val="lowerLetter"/>
      <w:lvlText w:val="%8."/>
      <w:lvlJc w:val="left"/>
      <w:pPr>
        <w:tabs>
          <w:tab w:val="num" w:pos="6000"/>
        </w:tabs>
        <w:ind w:left="6000" w:hanging="360"/>
      </w:pPr>
      <w:rPr>
        <w:rFonts w:cs="Times New Roman"/>
      </w:rPr>
    </w:lvl>
    <w:lvl w:ilvl="8" w:tplc="0409001B" w:tentative="1">
      <w:start w:val="1"/>
      <w:numFmt w:val="lowerRoman"/>
      <w:lvlText w:val="%9."/>
      <w:lvlJc w:val="right"/>
      <w:pPr>
        <w:tabs>
          <w:tab w:val="num" w:pos="6720"/>
        </w:tabs>
        <w:ind w:left="6720" w:hanging="180"/>
      </w:pPr>
      <w:rPr>
        <w:rFonts w:cs="Times New Roman"/>
      </w:rPr>
    </w:lvl>
  </w:abstractNum>
  <w:abstractNum w:abstractNumId="13" w15:restartNumberingAfterBreak="0">
    <w:nsid w:val="3CD62610"/>
    <w:multiLevelType w:val="hybridMultilevel"/>
    <w:tmpl w:val="49F0DE50"/>
    <w:lvl w:ilvl="0" w:tplc="BCFC9FB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57A1F"/>
    <w:multiLevelType w:val="hybridMultilevel"/>
    <w:tmpl w:val="978A0980"/>
    <w:lvl w:ilvl="0" w:tplc="08A04B64">
      <w:start w:val="1"/>
      <w:numFmt w:val="upperLetter"/>
      <w:lvlText w:val="%1."/>
      <w:lvlJc w:val="left"/>
      <w:pPr>
        <w:tabs>
          <w:tab w:val="num" w:pos="1440"/>
        </w:tabs>
        <w:ind w:left="1440" w:hanging="720"/>
      </w:pPr>
      <w:rPr>
        <w:rFonts w:hint="default"/>
        <w:sz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86765E2"/>
    <w:multiLevelType w:val="hybridMultilevel"/>
    <w:tmpl w:val="D542F3B4"/>
    <w:lvl w:ilvl="0" w:tplc="08A04B64">
      <w:start w:val="1"/>
      <w:numFmt w:val="upperLetter"/>
      <w:lvlText w:val="%1."/>
      <w:lvlJc w:val="left"/>
      <w:pPr>
        <w:tabs>
          <w:tab w:val="num" w:pos="1440"/>
        </w:tabs>
        <w:ind w:left="1440" w:hanging="720"/>
      </w:pPr>
      <w:rPr>
        <w:rFonts w:hint="default"/>
        <w:sz w:val="28"/>
        <w:u w:val="none"/>
      </w:rPr>
    </w:lvl>
    <w:lvl w:ilvl="1" w:tplc="04090019">
      <w:start w:val="1"/>
      <w:numFmt w:val="lowerLetter"/>
      <w:lvlText w:val="%2."/>
      <w:lvlJc w:val="left"/>
      <w:pPr>
        <w:tabs>
          <w:tab w:val="num" w:pos="1800"/>
        </w:tabs>
        <w:ind w:left="1800" w:hanging="360"/>
      </w:pPr>
    </w:lvl>
    <w:lvl w:ilvl="2" w:tplc="08A04B64">
      <w:start w:val="1"/>
      <w:numFmt w:val="upperLetter"/>
      <w:lvlText w:val="%3."/>
      <w:lvlJc w:val="left"/>
      <w:pPr>
        <w:tabs>
          <w:tab w:val="num" w:pos="3060"/>
        </w:tabs>
        <w:ind w:left="3060" w:hanging="720"/>
      </w:pPr>
      <w:rPr>
        <w:rFonts w:hint="default"/>
        <w:sz w:val="28"/>
        <w:u w:val="non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CE65F89"/>
    <w:multiLevelType w:val="hybridMultilevel"/>
    <w:tmpl w:val="CA74588E"/>
    <w:lvl w:ilvl="0" w:tplc="AB16067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830578"/>
    <w:multiLevelType w:val="hybridMultilevel"/>
    <w:tmpl w:val="09B605C8"/>
    <w:lvl w:ilvl="0" w:tplc="04090001">
      <w:start w:val="1"/>
      <w:numFmt w:val="bullet"/>
      <w:lvlText w:val=""/>
      <w:lvlJc w:val="left"/>
      <w:pPr>
        <w:tabs>
          <w:tab w:val="num" w:pos="1080"/>
        </w:tabs>
        <w:ind w:left="1080" w:hanging="360"/>
      </w:pPr>
      <w:rPr>
        <w:rFonts w:ascii="Symbol" w:hAnsi="Symbol" w:hint="default"/>
        <w:sz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0E29E6"/>
    <w:multiLevelType w:val="hybridMultilevel"/>
    <w:tmpl w:val="18306A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CA5CF9"/>
    <w:multiLevelType w:val="hybridMultilevel"/>
    <w:tmpl w:val="F548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EA3057"/>
    <w:multiLevelType w:val="hybridMultilevel"/>
    <w:tmpl w:val="729AD8B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176377"/>
    <w:multiLevelType w:val="hybridMultilevel"/>
    <w:tmpl w:val="271CC18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B448FA"/>
    <w:multiLevelType w:val="hybridMultilevel"/>
    <w:tmpl w:val="A4D03528"/>
    <w:lvl w:ilvl="0" w:tplc="04090015">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A8366E4"/>
    <w:multiLevelType w:val="hybridMultilevel"/>
    <w:tmpl w:val="E5743A8C"/>
    <w:lvl w:ilvl="0" w:tplc="5616F536">
      <w:start w:val="1"/>
      <w:numFmt w:val="bullet"/>
      <w:lvlText w:val=""/>
      <w:lvlJc w:val="left"/>
      <w:pPr>
        <w:tabs>
          <w:tab w:val="num" w:pos="720"/>
        </w:tabs>
        <w:ind w:left="720" w:hanging="360"/>
      </w:pPr>
      <w:rPr>
        <w:rFonts w:ascii="Wingdings" w:hAnsi="Wingdings" w:hint="default"/>
        <w:b/>
      </w:rPr>
    </w:lvl>
    <w:lvl w:ilvl="1" w:tplc="0409000D">
      <w:start w:val="1"/>
      <w:numFmt w:val="bullet"/>
      <w:lvlText w:val=""/>
      <w:lvlJc w:val="left"/>
      <w:pPr>
        <w:tabs>
          <w:tab w:val="num" w:pos="1440"/>
        </w:tabs>
        <w:ind w:left="1440" w:hanging="360"/>
      </w:pPr>
      <w:rPr>
        <w:rFonts w:ascii="Wingdings" w:hAnsi="Wingdings" w:hint="default"/>
        <w:b/>
      </w:rPr>
    </w:lvl>
    <w:lvl w:ilvl="2" w:tplc="04090007">
      <w:start w:val="1"/>
      <w:numFmt w:val="bullet"/>
      <w:lvlText w:val=""/>
      <w:lvlPicBulletId w:val="0"/>
      <w:lvlJc w:val="left"/>
      <w:pPr>
        <w:tabs>
          <w:tab w:val="num" w:pos="2160"/>
        </w:tabs>
        <w:ind w:left="2160" w:hanging="360"/>
      </w:pPr>
      <w:rPr>
        <w:rFonts w:ascii="Symbol" w:hAnsi="Symbol"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B54734"/>
    <w:multiLevelType w:val="hybridMultilevel"/>
    <w:tmpl w:val="009CADE2"/>
    <w:lvl w:ilvl="0" w:tplc="0409000F">
      <w:start w:val="1"/>
      <w:numFmt w:val="decimal"/>
      <w:lvlText w:val="%1."/>
      <w:lvlJc w:val="left"/>
      <w:pPr>
        <w:tabs>
          <w:tab w:val="num" w:pos="720"/>
        </w:tabs>
        <w:ind w:left="720" w:hanging="360"/>
      </w:pPr>
      <w:rPr>
        <w:rFonts w:hint="default"/>
      </w:rPr>
    </w:lvl>
    <w:lvl w:ilvl="1" w:tplc="4EE8741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C7C23D5"/>
    <w:multiLevelType w:val="hybridMultilevel"/>
    <w:tmpl w:val="97263BF6"/>
    <w:lvl w:ilvl="0" w:tplc="04090015">
      <w:start w:val="3"/>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1F21E4F"/>
    <w:multiLevelType w:val="hybridMultilevel"/>
    <w:tmpl w:val="DB54C1C0"/>
    <w:lvl w:ilvl="0" w:tplc="5616F536">
      <w:start w:val="1"/>
      <w:numFmt w:val="bullet"/>
      <w:lvlText w:val=""/>
      <w:lvlJc w:val="left"/>
      <w:pPr>
        <w:tabs>
          <w:tab w:val="num" w:pos="720"/>
        </w:tabs>
        <w:ind w:left="720" w:hanging="360"/>
      </w:pPr>
      <w:rPr>
        <w:rFonts w:ascii="Wingdings" w:hAnsi="Wingdings" w:hint="default"/>
        <w:b/>
      </w:rPr>
    </w:lvl>
    <w:lvl w:ilvl="1" w:tplc="0409000F">
      <w:start w:val="1"/>
      <w:numFmt w:val="decimal"/>
      <w:lvlText w:val="%2."/>
      <w:lvlJc w:val="left"/>
      <w:pPr>
        <w:tabs>
          <w:tab w:val="num" w:pos="1440"/>
        </w:tabs>
        <w:ind w:left="1440" w:hanging="360"/>
      </w:pPr>
      <w:rPr>
        <w:rFonts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F2700E"/>
    <w:multiLevelType w:val="hybridMultilevel"/>
    <w:tmpl w:val="3BDE03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BB51D65"/>
    <w:multiLevelType w:val="hybridMultilevel"/>
    <w:tmpl w:val="B71C2CA8"/>
    <w:lvl w:ilvl="0" w:tplc="08A04B64">
      <w:start w:val="1"/>
      <w:numFmt w:val="upperLetter"/>
      <w:lvlText w:val="%1."/>
      <w:lvlJc w:val="left"/>
      <w:pPr>
        <w:tabs>
          <w:tab w:val="num" w:pos="1440"/>
        </w:tabs>
        <w:ind w:left="1440" w:hanging="720"/>
      </w:pPr>
      <w:rPr>
        <w:rFonts w:hint="default"/>
        <w:sz w:val="28"/>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253EA4"/>
    <w:multiLevelType w:val="hybridMultilevel"/>
    <w:tmpl w:val="C54450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18196374">
    <w:abstractNumId w:val="24"/>
  </w:num>
  <w:num w:numId="2" w16cid:durableId="284047930">
    <w:abstractNumId w:val="12"/>
  </w:num>
  <w:num w:numId="3" w16cid:durableId="1960329820">
    <w:abstractNumId w:val="25"/>
  </w:num>
  <w:num w:numId="4" w16cid:durableId="380640839">
    <w:abstractNumId w:val="22"/>
  </w:num>
  <w:num w:numId="5" w16cid:durableId="866941577">
    <w:abstractNumId w:val="18"/>
  </w:num>
  <w:num w:numId="6" w16cid:durableId="1051071917">
    <w:abstractNumId w:val="2"/>
  </w:num>
  <w:num w:numId="7" w16cid:durableId="1418093705">
    <w:abstractNumId w:val="15"/>
  </w:num>
  <w:num w:numId="8" w16cid:durableId="731732505">
    <w:abstractNumId w:val="9"/>
  </w:num>
  <w:num w:numId="9" w16cid:durableId="1031027980">
    <w:abstractNumId w:val="14"/>
  </w:num>
  <w:num w:numId="10" w16cid:durableId="624577435">
    <w:abstractNumId w:val="28"/>
  </w:num>
  <w:num w:numId="11" w16cid:durableId="1150556102">
    <w:abstractNumId w:val="17"/>
  </w:num>
  <w:num w:numId="12" w16cid:durableId="949043461">
    <w:abstractNumId w:val="4"/>
  </w:num>
  <w:num w:numId="13" w16cid:durableId="291444910">
    <w:abstractNumId w:val="7"/>
  </w:num>
  <w:num w:numId="14" w16cid:durableId="249893357">
    <w:abstractNumId w:val="13"/>
  </w:num>
  <w:num w:numId="15" w16cid:durableId="1424842852">
    <w:abstractNumId w:val="19"/>
  </w:num>
  <w:num w:numId="16" w16cid:durableId="769816765">
    <w:abstractNumId w:val="23"/>
  </w:num>
  <w:num w:numId="17" w16cid:durableId="1182818418">
    <w:abstractNumId w:val="6"/>
  </w:num>
  <w:num w:numId="18" w16cid:durableId="784353502">
    <w:abstractNumId w:val="26"/>
  </w:num>
  <w:num w:numId="19" w16cid:durableId="672100086">
    <w:abstractNumId w:val="10"/>
  </w:num>
  <w:num w:numId="20" w16cid:durableId="851796508">
    <w:abstractNumId w:val="16"/>
  </w:num>
  <w:num w:numId="21" w16cid:durableId="688219869">
    <w:abstractNumId w:val="5"/>
  </w:num>
  <w:num w:numId="22" w16cid:durableId="2045127954">
    <w:abstractNumId w:val="20"/>
  </w:num>
  <w:num w:numId="23" w16cid:durableId="981346699">
    <w:abstractNumId w:val="11"/>
  </w:num>
  <w:num w:numId="24" w16cid:durableId="2039158037">
    <w:abstractNumId w:val="3"/>
  </w:num>
  <w:num w:numId="25" w16cid:durableId="2139106306">
    <w:abstractNumId w:val="21"/>
  </w:num>
  <w:num w:numId="26" w16cid:durableId="2001886176">
    <w:abstractNumId w:val="0"/>
  </w:num>
  <w:num w:numId="27" w16cid:durableId="1806006015">
    <w:abstractNumId w:val="29"/>
  </w:num>
  <w:num w:numId="28" w16cid:durableId="2030452913">
    <w:abstractNumId w:val="8"/>
  </w:num>
  <w:num w:numId="29" w16cid:durableId="82410795">
    <w:abstractNumId w:val="27"/>
  </w:num>
  <w:num w:numId="30" w16cid:durableId="612597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44B6"/>
    <w:rsid w:val="00010A6E"/>
    <w:rsid w:val="0003610A"/>
    <w:rsid w:val="000601C5"/>
    <w:rsid w:val="00073C5D"/>
    <w:rsid w:val="000836E5"/>
    <w:rsid w:val="000841BD"/>
    <w:rsid w:val="00093C13"/>
    <w:rsid w:val="000A6B11"/>
    <w:rsid w:val="000C6EBA"/>
    <w:rsid w:val="000E3AEC"/>
    <w:rsid w:val="000E79CD"/>
    <w:rsid w:val="000F7552"/>
    <w:rsid w:val="00102625"/>
    <w:rsid w:val="00136078"/>
    <w:rsid w:val="00140780"/>
    <w:rsid w:val="001438C5"/>
    <w:rsid w:val="0014612A"/>
    <w:rsid w:val="00150B37"/>
    <w:rsid w:val="00151780"/>
    <w:rsid w:val="00172F3F"/>
    <w:rsid w:val="00185963"/>
    <w:rsid w:val="00193B8E"/>
    <w:rsid w:val="001A04DB"/>
    <w:rsid w:val="001A3A99"/>
    <w:rsid w:val="001B1C16"/>
    <w:rsid w:val="001C4CFE"/>
    <w:rsid w:val="001D705C"/>
    <w:rsid w:val="00201F7A"/>
    <w:rsid w:val="002061B9"/>
    <w:rsid w:val="00207CFA"/>
    <w:rsid w:val="00251A5B"/>
    <w:rsid w:val="0025502A"/>
    <w:rsid w:val="002714E9"/>
    <w:rsid w:val="0028057B"/>
    <w:rsid w:val="00282548"/>
    <w:rsid w:val="002A1A3B"/>
    <w:rsid w:val="002B1CE9"/>
    <w:rsid w:val="002C726F"/>
    <w:rsid w:val="002D5DF3"/>
    <w:rsid w:val="002F14BF"/>
    <w:rsid w:val="002F7A56"/>
    <w:rsid w:val="0031623D"/>
    <w:rsid w:val="00325BDD"/>
    <w:rsid w:val="00330191"/>
    <w:rsid w:val="0033534D"/>
    <w:rsid w:val="00337E47"/>
    <w:rsid w:val="003406AC"/>
    <w:rsid w:val="00340A8C"/>
    <w:rsid w:val="00354AFF"/>
    <w:rsid w:val="003644B6"/>
    <w:rsid w:val="00367B4A"/>
    <w:rsid w:val="00372C04"/>
    <w:rsid w:val="00375EE8"/>
    <w:rsid w:val="00376510"/>
    <w:rsid w:val="003946D0"/>
    <w:rsid w:val="00402EC7"/>
    <w:rsid w:val="0042593C"/>
    <w:rsid w:val="0042709B"/>
    <w:rsid w:val="004500D4"/>
    <w:rsid w:val="00466BD9"/>
    <w:rsid w:val="00480C0E"/>
    <w:rsid w:val="004A41D5"/>
    <w:rsid w:val="004D236F"/>
    <w:rsid w:val="004D65E0"/>
    <w:rsid w:val="004E02FA"/>
    <w:rsid w:val="004E1CD6"/>
    <w:rsid w:val="004E39A3"/>
    <w:rsid w:val="005337C9"/>
    <w:rsid w:val="005409BF"/>
    <w:rsid w:val="005441B2"/>
    <w:rsid w:val="0054615F"/>
    <w:rsid w:val="00555B82"/>
    <w:rsid w:val="005575BC"/>
    <w:rsid w:val="00567B8A"/>
    <w:rsid w:val="00572C72"/>
    <w:rsid w:val="005A29D5"/>
    <w:rsid w:val="005B432E"/>
    <w:rsid w:val="005B618D"/>
    <w:rsid w:val="005C229E"/>
    <w:rsid w:val="005D2FE2"/>
    <w:rsid w:val="005E3F14"/>
    <w:rsid w:val="005E67DD"/>
    <w:rsid w:val="005F4970"/>
    <w:rsid w:val="005F568F"/>
    <w:rsid w:val="005F652B"/>
    <w:rsid w:val="00622A39"/>
    <w:rsid w:val="0062452C"/>
    <w:rsid w:val="006320DC"/>
    <w:rsid w:val="00640B3F"/>
    <w:rsid w:val="006513F1"/>
    <w:rsid w:val="00652064"/>
    <w:rsid w:val="00663C7A"/>
    <w:rsid w:val="00672641"/>
    <w:rsid w:val="00685C32"/>
    <w:rsid w:val="006A0621"/>
    <w:rsid w:val="006B72C5"/>
    <w:rsid w:val="006C57A4"/>
    <w:rsid w:val="006C73CB"/>
    <w:rsid w:val="006F2617"/>
    <w:rsid w:val="006F79DF"/>
    <w:rsid w:val="00703B43"/>
    <w:rsid w:val="00716473"/>
    <w:rsid w:val="00720ADC"/>
    <w:rsid w:val="0073588A"/>
    <w:rsid w:val="00755944"/>
    <w:rsid w:val="00763637"/>
    <w:rsid w:val="00765D72"/>
    <w:rsid w:val="00772E2A"/>
    <w:rsid w:val="00796039"/>
    <w:rsid w:val="007960DF"/>
    <w:rsid w:val="007A2A2B"/>
    <w:rsid w:val="007A70FC"/>
    <w:rsid w:val="007C121E"/>
    <w:rsid w:val="0083197B"/>
    <w:rsid w:val="00870488"/>
    <w:rsid w:val="008713F5"/>
    <w:rsid w:val="00882891"/>
    <w:rsid w:val="00887F36"/>
    <w:rsid w:val="00896F1F"/>
    <w:rsid w:val="008A1EAA"/>
    <w:rsid w:val="008B3A5B"/>
    <w:rsid w:val="0090298E"/>
    <w:rsid w:val="0093646A"/>
    <w:rsid w:val="00937BDC"/>
    <w:rsid w:val="00946065"/>
    <w:rsid w:val="00954483"/>
    <w:rsid w:val="00955395"/>
    <w:rsid w:val="00962A85"/>
    <w:rsid w:val="00971ADA"/>
    <w:rsid w:val="009A7136"/>
    <w:rsid w:val="009C3FA5"/>
    <w:rsid w:val="009D05F8"/>
    <w:rsid w:val="009D1CB3"/>
    <w:rsid w:val="009F36D6"/>
    <w:rsid w:val="00A04D2D"/>
    <w:rsid w:val="00A062F9"/>
    <w:rsid w:val="00A14FFD"/>
    <w:rsid w:val="00A26C0B"/>
    <w:rsid w:val="00A31653"/>
    <w:rsid w:val="00A44401"/>
    <w:rsid w:val="00A52580"/>
    <w:rsid w:val="00A6088C"/>
    <w:rsid w:val="00A82B80"/>
    <w:rsid w:val="00A84043"/>
    <w:rsid w:val="00A862B0"/>
    <w:rsid w:val="00A97AF7"/>
    <w:rsid w:val="00AD3623"/>
    <w:rsid w:val="00AE08BE"/>
    <w:rsid w:val="00AE0CFE"/>
    <w:rsid w:val="00AE6C0C"/>
    <w:rsid w:val="00AE7C74"/>
    <w:rsid w:val="00B03969"/>
    <w:rsid w:val="00B127DC"/>
    <w:rsid w:val="00B30925"/>
    <w:rsid w:val="00B42606"/>
    <w:rsid w:val="00B5063F"/>
    <w:rsid w:val="00B74806"/>
    <w:rsid w:val="00B8712A"/>
    <w:rsid w:val="00B946B9"/>
    <w:rsid w:val="00B950B0"/>
    <w:rsid w:val="00B96175"/>
    <w:rsid w:val="00C018CD"/>
    <w:rsid w:val="00C06813"/>
    <w:rsid w:val="00C14969"/>
    <w:rsid w:val="00C35092"/>
    <w:rsid w:val="00C46BDE"/>
    <w:rsid w:val="00C47171"/>
    <w:rsid w:val="00C55E62"/>
    <w:rsid w:val="00C757C7"/>
    <w:rsid w:val="00C8260C"/>
    <w:rsid w:val="00C962AE"/>
    <w:rsid w:val="00CA4118"/>
    <w:rsid w:val="00CA7810"/>
    <w:rsid w:val="00CB0538"/>
    <w:rsid w:val="00CB2E2D"/>
    <w:rsid w:val="00CC31D4"/>
    <w:rsid w:val="00CD27EF"/>
    <w:rsid w:val="00CE7AD8"/>
    <w:rsid w:val="00CF2BD0"/>
    <w:rsid w:val="00D009FB"/>
    <w:rsid w:val="00D02F22"/>
    <w:rsid w:val="00D31D3D"/>
    <w:rsid w:val="00D41DAB"/>
    <w:rsid w:val="00D63754"/>
    <w:rsid w:val="00D8290D"/>
    <w:rsid w:val="00D86500"/>
    <w:rsid w:val="00D9280F"/>
    <w:rsid w:val="00D93FC0"/>
    <w:rsid w:val="00D96C78"/>
    <w:rsid w:val="00D97375"/>
    <w:rsid w:val="00DC658E"/>
    <w:rsid w:val="00DD7953"/>
    <w:rsid w:val="00DF528E"/>
    <w:rsid w:val="00E16EF3"/>
    <w:rsid w:val="00E24EE2"/>
    <w:rsid w:val="00E32CF0"/>
    <w:rsid w:val="00E464D5"/>
    <w:rsid w:val="00E553CB"/>
    <w:rsid w:val="00E6113B"/>
    <w:rsid w:val="00E70B3F"/>
    <w:rsid w:val="00E91EBA"/>
    <w:rsid w:val="00E941C5"/>
    <w:rsid w:val="00E942C7"/>
    <w:rsid w:val="00EB6457"/>
    <w:rsid w:val="00EB7730"/>
    <w:rsid w:val="00EC49D5"/>
    <w:rsid w:val="00EC5EF3"/>
    <w:rsid w:val="00ED5B46"/>
    <w:rsid w:val="00ED77C8"/>
    <w:rsid w:val="00F0686B"/>
    <w:rsid w:val="00F0734B"/>
    <w:rsid w:val="00F15D39"/>
    <w:rsid w:val="00F32FDD"/>
    <w:rsid w:val="00F417F9"/>
    <w:rsid w:val="00F43C70"/>
    <w:rsid w:val="00F72F73"/>
    <w:rsid w:val="00F74EE5"/>
    <w:rsid w:val="00F87B2F"/>
    <w:rsid w:val="00F900DA"/>
    <w:rsid w:val="00F95C4C"/>
    <w:rsid w:val="00FC20E9"/>
    <w:rsid w:val="00FC52EE"/>
    <w:rsid w:val="00FD6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2E4B8D65"/>
  <w15:chartTrackingRefBased/>
  <w15:docId w15:val="{93DB6E6B-5FE5-4665-99A4-94C7ED2C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262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5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55944"/>
    <w:pPr>
      <w:tabs>
        <w:tab w:val="center" w:pos="4320"/>
        <w:tab w:val="right" w:pos="8640"/>
      </w:tabs>
    </w:pPr>
  </w:style>
  <w:style w:type="character" w:customStyle="1" w:styleId="HeaderChar">
    <w:name w:val="Header Char"/>
    <w:link w:val="Header"/>
    <w:semiHidden/>
    <w:locked/>
    <w:rsid w:val="00A04D2D"/>
    <w:rPr>
      <w:sz w:val="24"/>
      <w:szCs w:val="24"/>
      <w:lang w:val="en-US" w:eastAsia="en-US" w:bidi="ar-SA"/>
    </w:rPr>
  </w:style>
  <w:style w:type="paragraph" w:styleId="Footer">
    <w:name w:val="footer"/>
    <w:basedOn w:val="Normal"/>
    <w:link w:val="FooterChar"/>
    <w:rsid w:val="00755944"/>
    <w:pPr>
      <w:tabs>
        <w:tab w:val="center" w:pos="4320"/>
        <w:tab w:val="right" w:pos="8640"/>
      </w:tabs>
    </w:pPr>
  </w:style>
  <w:style w:type="character" w:customStyle="1" w:styleId="FooterChar">
    <w:name w:val="Footer Char"/>
    <w:link w:val="Footer"/>
    <w:semiHidden/>
    <w:locked/>
    <w:rsid w:val="00A04D2D"/>
    <w:rPr>
      <w:sz w:val="24"/>
      <w:szCs w:val="24"/>
      <w:lang w:val="en-US" w:eastAsia="en-US" w:bidi="ar-SA"/>
    </w:rPr>
  </w:style>
  <w:style w:type="character" w:styleId="PageNumber">
    <w:name w:val="page number"/>
    <w:basedOn w:val="DefaultParagraphFont"/>
    <w:rsid w:val="004500D4"/>
  </w:style>
  <w:style w:type="paragraph" w:styleId="BalloonText">
    <w:name w:val="Balloon Text"/>
    <w:basedOn w:val="Normal"/>
    <w:link w:val="BalloonTextChar"/>
    <w:semiHidden/>
    <w:rsid w:val="00A04D2D"/>
    <w:pPr>
      <w:widowControl w:val="0"/>
      <w:autoSpaceDE w:val="0"/>
      <w:autoSpaceDN w:val="0"/>
      <w:adjustRightInd w:val="0"/>
    </w:pPr>
    <w:rPr>
      <w:rFonts w:ascii="Tahoma" w:hAnsi="Tahoma" w:cs="Tahoma"/>
      <w:sz w:val="16"/>
      <w:szCs w:val="16"/>
    </w:rPr>
  </w:style>
  <w:style w:type="character" w:customStyle="1" w:styleId="BalloonTextChar">
    <w:name w:val="Balloon Text Char"/>
    <w:link w:val="BalloonText"/>
    <w:semiHidden/>
    <w:locked/>
    <w:rsid w:val="00A04D2D"/>
    <w:rPr>
      <w:rFonts w:ascii="Tahoma" w:hAnsi="Tahoma" w:cs="Tahoma"/>
      <w:sz w:val="16"/>
      <w:szCs w:val="16"/>
      <w:lang w:val="en-US" w:eastAsia="en-US" w:bidi="ar-SA"/>
    </w:rPr>
  </w:style>
  <w:style w:type="paragraph" w:styleId="ListParagraph">
    <w:name w:val="List Paragraph"/>
    <w:basedOn w:val="Normal"/>
    <w:uiPriority w:val="34"/>
    <w:qFormat/>
    <w:rsid w:val="00AE08B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0589">
      <w:bodyDiv w:val="1"/>
      <w:marLeft w:val="0"/>
      <w:marRight w:val="0"/>
      <w:marTop w:val="0"/>
      <w:marBottom w:val="0"/>
      <w:divBdr>
        <w:top w:val="none" w:sz="0" w:space="0" w:color="auto"/>
        <w:left w:val="none" w:sz="0" w:space="0" w:color="auto"/>
        <w:bottom w:val="none" w:sz="0" w:space="0" w:color="auto"/>
        <w:right w:val="none" w:sz="0" w:space="0" w:color="auto"/>
      </w:divBdr>
    </w:div>
    <w:div w:id="688801924">
      <w:bodyDiv w:val="1"/>
      <w:marLeft w:val="0"/>
      <w:marRight w:val="0"/>
      <w:marTop w:val="0"/>
      <w:marBottom w:val="0"/>
      <w:divBdr>
        <w:top w:val="none" w:sz="0" w:space="0" w:color="auto"/>
        <w:left w:val="none" w:sz="0" w:space="0" w:color="auto"/>
        <w:bottom w:val="none" w:sz="0" w:space="0" w:color="auto"/>
        <w:right w:val="none" w:sz="0" w:space="0" w:color="auto"/>
      </w:divBdr>
    </w:div>
    <w:div w:id="93698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6" ma:contentTypeDescription="Create a new document." ma:contentTypeScope="" ma:versionID="4510c7d139faaa142561d072f863e011">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c21f90498a492385c88faf4d9b0bd4a8"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6FB92F-4E17-48F9-AF84-56AAD32153A8}">
  <ds:schemaRefs>
    <ds:schemaRef ds:uri="http://schemas.openxmlformats.org/officeDocument/2006/bibliography"/>
  </ds:schemaRefs>
</ds:datastoreItem>
</file>

<file path=customXml/itemProps2.xml><?xml version="1.0" encoding="utf-8"?>
<ds:datastoreItem xmlns:ds="http://schemas.openxmlformats.org/officeDocument/2006/customXml" ds:itemID="{61605544-2E79-4E72-8AB2-2FA78CD19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9ff5-2916-4c9f-b38b-69ccf6165550"/>
    <ds:schemaRef ds:uri="74a8ef0e-e970-44d0-921e-85c71552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554149-C9CF-46FA-8BD4-06EF6E3E721B}">
  <ds:schemaRefs>
    <ds:schemaRef ds:uri="http://schemas.microsoft.com/sharepoint/v3/contenttype/forms"/>
  </ds:schemaRefs>
</ds:datastoreItem>
</file>

<file path=customXml/itemProps4.xml><?xml version="1.0" encoding="utf-8"?>
<ds:datastoreItem xmlns:ds="http://schemas.openxmlformats.org/officeDocument/2006/customXml" ds:itemID="{D4B9842D-2454-49A9-A4A0-0E18CD7619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1593</Words>
  <Characters>9084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Title : Laboratory safety plan</vt:lpstr>
    </vt:vector>
  </TitlesOfParts>
  <Company>SLVRMC</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Title : Laboratory safety plan</dc:title>
  <dc:subject/>
  <dc:creator>MJT4</dc:creator>
  <cp:keywords/>
  <cp:lastModifiedBy>Ferd Libunao</cp:lastModifiedBy>
  <cp:revision>6</cp:revision>
  <cp:lastPrinted>2015-02-16T21:04:00Z</cp:lastPrinted>
  <dcterms:created xsi:type="dcterms:W3CDTF">2022-08-10T22:06:00Z</dcterms:created>
  <dcterms:modified xsi:type="dcterms:W3CDTF">2022-08-10T22:11:00Z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